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378A5EEF" w:rsidR="006819D3" w:rsidRPr="006819D3" w:rsidRDefault="003F1F20" w:rsidP="00754FD1">
            <w:pPr>
              <w:pStyle w:val="TableParagraph"/>
              <w:keepLines/>
              <w:widowControl/>
              <w:spacing w:line="223" w:lineRule="exact"/>
              <w:ind w:left="110"/>
              <w:rPr>
                <w:b/>
                <w:sz w:val="18"/>
                <w:szCs w:val="18"/>
              </w:rPr>
            </w:pPr>
            <w:r>
              <w:rPr>
                <w:b/>
                <w:sz w:val="18"/>
                <w:szCs w:val="18"/>
              </w:rPr>
              <w:t>Environmental Justice and Equity</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A47D47">
            <w:pPr>
              <w:pStyle w:val="TableParagraph"/>
              <w:keepLines/>
              <w:widowControl/>
              <w:spacing w:line="266" w:lineRule="auto"/>
              <w:ind w:left="208" w:right="199" w:hanging="5"/>
              <w:jc w:val="center"/>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01346391" w:rsidR="00AB56BB" w:rsidRPr="00AB56BB" w:rsidRDefault="00807D7D" w:rsidP="00A47D47">
            <w:pPr>
              <w:pStyle w:val="TableParagraph"/>
              <w:keepLines/>
              <w:widowControl/>
              <w:jc w:val="center"/>
              <w:rPr>
                <w:rFonts w:ascii="Times New Roman"/>
                <w:sz w:val="18"/>
                <w:szCs w:val="20"/>
              </w:rPr>
            </w:pPr>
            <w:r>
              <w:rPr>
                <w:rFonts w:ascii="Times New Roman"/>
                <w:sz w:val="18"/>
                <w:szCs w:val="20"/>
              </w:rPr>
              <w:t>0</w:t>
            </w:r>
          </w:p>
        </w:tc>
        <w:tc>
          <w:tcPr>
            <w:tcW w:w="3296" w:type="dxa"/>
          </w:tcPr>
          <w:p w14:paraId="24A33DE5" w14:textId="554A39AB" w:rsidR="00AB56BB" w:rsidRDefault="00E03BEA" w:rsidP="00754FD1">
            <w:pPr>
              <w:pStyle w:val="TableParagraph"/>
              <w:keepLines/>
              <w:widowControl/>
              <w:rPr>
                <w:rFonts w:ascii="Times New Roman"/>
                <w:sz w:val="18"/>
                <w:szCs w:val="20"/>
              </w:rPr>
            </w:pPr>
            <w:r>
              <w:rPr>
                <w:rFonts w:ascii="Times New Roman"/>
                <w:sz w:val="18"/>
                <w:szCs w:val="20"/>
              </w:rPr>
              <w:t xml:space="preserve">Forward looking rate reviews </w:t>
            </w:r>
            <w:r w:rsidR="005C0693">
              <w:rPr>
                <w:rFonts w:ascii="Times New Roman"/>
                <w:sz w:val="18"/>
                <w:szCs w:val="20"/>
              </w:rPr>
              <w:t>establishing rates going forward</w:t>
            </w:r>
            <w:r w:rsidR="00712E94">
              <w:rPr>
                <w:rFonts w:ascii="Times New Roman"/>
                <w:sz w:val="18"/>
                <w:szCs w:val="20"/>
              </w:rPr>
              <w:t xml:space="preserve"> </w:t>
            </w:r>
            <w:r w:rsidR="004679D6">
              <w:rPr>
                <w:rFonts w:ascii="Times New Roman"/>
                <w:sz w:val="18"/>
                <w:szCs w:val="20"/>
              </w:rPr>
              <w:t>don</w:t>
            </w:r>
            <w:r w:rsidR="004679D6">
              <w:rPr>
                <w:rFonts w:ascii="Times New Roman"/>
                <w:sz w:val="18"/>
                <w:szCs w:val="20"/>
              </w:rPr>
              <w:t>’</w:t>
            </w:r>
            <w:r w:rsidR="004679D6">
              <w:rPr>
                <w:rFonts w:ascii="Times New Roman"/>
                <w:sz w:val="18"/>
                <w:szCs w:val="20"/>
              </w:rPr>
              <w:t>t currently appear to deeply impact utility operation decision making</w:t>
            </w:r>
            <w:r w:rsidR="00050EB4">
              <w:rPr>
                <w:rFonts w:ascii="Times New Roman"/>
                <w:sz w:val="18"/>
                <w:szCs w:val="20"/>
              </w:rPr>
              <w:t xml:space="preserve"> with regard to EJ and equity</w:t>
            </w:r>
            <w:r w:rsidR="004679D6">
              <w:rPr>
                <w:rFonts w:ascii="Times New Roman"/>
                <w:sz w:val="18"/>
                <w:szCs w:val="20"/>
              </w:rPr>
              <w:t xml:space="preserve">. The SCC </w:t>
            </w:r>
            <w:r w:rsidR="00712E94">
              <w:rPr>
                <w:rFonts w:ascii="Times New Roman"/>
                <w:sz w:val="18"/>
                <w:szCs w:val="20"/>
              </w:rPr>
              <w:t xml:space="preserve">could look more closely at </w:t>
            </w:r>
            <w:r w:rsidR="00A4153C">
              <w:rPr>
                <w:rFonts w:ascii="Times New Roman"/>
                <w:sz w:val="18"/>
                <w:szCs w:val="20"/>
              </w:rPr>
              <w:t>utility operations</w:t>
            </w:r>
            <w:r w:rsidR="004679D6">
              <w:rPr>
                <w:rFonts w:ascii="Times New Roman"/>
                <w:sz w:val="18"/>
                <w:szCs w:val="20"/>
              </w:rPr>
              <w:t xml:space="preserve"> to inform their assessment of forward looking rate review</w:t>
            </w:r>
            <w:r w:rsidR="00A4153C">
              <w:rPr>
                <w:rFonts w:ascii="Times New Roman"/>
                <w:sz w:val="18"/>
                <w:szCs w:val="20"/>
              </w:rPr>
              <w:t>. An audit might be helpful to better understand how resources are spent at the utility</w:t>
            </w:r>
            <w:r w:rsidR="00953CC7">
              <w:rPr>
                <w:rFonts w:ascii="Times New Roman"/>
                <w:sz w:val="18"/>
                <w:szCs w:val="20"/>
              </w:rPr>
              <w:t xml:space="preserve"> and whether </w:t>
            </w:r>
            <w:r w:rsidR="00135875">
              <w:rPr>
                <w:rFonts w:ascii="Times New Roman"/>
                <w:sz w:val="18"/>
                <w:szCs w:val="20"/>
              </w:rPr>
              <w:t>customers can get more value through improved utility management.</w:t>
            </w:r>
          </w:p>
          <w:p w14:paraId="4345B0EE" w14:textId="77777777" w:rsidR="00A277C8" w:rsidRDefault="00A277C8" w:rsidP="00754FD1">
            <w:pPr>
              <w:pStyle w:val="TableParagraph"/>
              <w:keepLines/>
              <w:widowControl/>
              <w:rPr>
                <w:rFonts w:ascii="Times New Roman"/>
                <w:sz w:val="18"/>
                <w:szCs w:val="20"/>
              </w:rPr>
            </w:pPr>
          </w:p>
          <w:p w14:paraId="40589D28" w14:textId="6D1FE884" w:rsidR="00A277C8" w:rsidRDefault="00A277C8" w:rsidP="00754FD1">
            <w:pPr>
              <w:pStyle w:val="TableParagraph"/>
              <w:keepLines/>
              <w:widowControl/>
              <w:rPr>
                <w:rFonts w:ascii="Times New Roman"/>
                <w:sz w:val="18"/>
                <w:szCs w:val="20"/>
              </w:rPr>
            </w:pPr>
            <w:r>
              <w:rPr>
                <w:rFonts w:ascii="Times New Roman"/>
                <w:sz w:val="18"/>
                <w:szCs w:val="20"/>
              </w:rPr>
              <w:t>Hawaii PUC conducted a management audit of the local IOU</w:t>
            </w:r>
            <w:r w:rsidR="00FA66D3">
              <w:rPr>
                <w:rFonts w:ascii="Times New Roman"/>
                <w:sz w:val="18"/>
                <w:szCs w:val="20"/>
              </w:rPr>
              <w:t xml:space="preserve"> when it sought a rate increase</w:t>
            </w:r>
            <w:r>
              <w:rPr>
                <w:rFonts w:ascii="Times New Roman"/>
                <w:sz w:val="18"/>
                <w:szCs w:val="20"/>
              </w:rPr>
              <w:t xml:space="preserve">. </w:t>
            </w:r>
            <w:hyperlink r:id="rId8" w:history="1">
              <w:r w:rsidRPr="00A277C8">
                <w:rPr>
                  <w:rStyle w:val="Hyperlink"/>
                  <w:rFonts w:ascii="Times New Roman"/>
                  <w:sz w:val="18"/>
                  <w:szCs w:val="20"/>
                </w:rPr>
                <w:t>Hawaii regulators audit HECO management as utility targets Oahu rate increase | Utility Dive</w:t>
              </w:r>
            </w:hyperlink>
          </w:p>
          <w:p w14:paraId="4F5AC3E2" w14:textId="77777777" w:rsidR="00A277C8" w:rsidRDefault="00A277C8" w:rsidP="00754FD1">
            <w:pPr>
              <w:pStyle w:val="TableParagraph"/>
              <w:keepLines/>
              <w:widowControl/>
              <w:rPr>
                <w:rFonts w:ascii="Times New Roman"/>
                <w:sz w:val="18"/>
                <w:szCs w:val="20"/>
              </w:rPr>
            </w:pPr>
          </w:p>
          <w:p w14:paraId="24C1DD4C" w14:textId="684078E6" w:rsidR="00A277C8" w:rsidRPr="00AB56BB" w:rsidRDefault="00807D7D" w:rsidP="00754FD1">
            <w:pPr>
              <w:pStyle w:val="TableParagraph"/>
              <w:keepLines/>
              <w:widowControl/>
              <w:rPr>
                <w:rFonts w:ascii="Times New Roman"/>
                <w:sz w:val="18"/>
                <w:szCs w:val="20"/>
              </w:rPr>
            </w:pPr>
            <w:r>
              <w:rPr>
                <w:rFonts w:ascii="Times New Roman"/>
                <w:sz w:val="18"/>
                <w:szCs w:val="20"/>
              </w:rPr>
              <w:t>Such an audit might be informative for any proposed rate increases in the Commonwealth.</w:t>
            </w:r>
          </w:p>
        </w:tc>
        <w:tc>
          <w:tcPr>
            <w:tcW w:w="4534" w:type="dxa"/>
          </w:tcPr>
          <w:p w14:paraId="75AD134A" w14:textId="77777777" w:rsidR="00CE7B75" w:rsidRDefault="00733C30" w:rsidP="00754FD1">
            <w:pPr>
              <w:pStyle w:val="TableParagraph"/>
              <w:keepLines/>
              <w:widowControl/>
              <w:rPr>
                <w:rFonts w:ascii="Times New Roman"/>
                <w:sz w:val="18"/>
                <w:szCs w:val="20"/>
              </w:rPr>
            </w:pPr>
            <w:r>
              <w:rPr>
                <w:rFonts w:ascii="Times New Roman"/>
                <w:sz w:val="18"/>
                <w:szCs w:val="20"/>
              </w:rPr>
              <w:t>As a general matter, p</w:t>
            </w:r>
            <w:r w:rsidR="00C21DAC">
              <w:rPr>
                <w:rFonts w:ascii="Times New Roman"/>
                <w:sz w:val="18"/>
                <w:szCs w:val="20"/>
              </w:rPr>
              <w:t>erformance</w:t>
            </w:r>
            <w:r w:rsidR="00C21DAC" w:rsidRPr="0079494A">
              <w:rPr>
                <w:rFonts w:ascii="Times New Roman"/>
                <w:sz w:val="18"/>
                <w:szCs w:val="20"/>
              </w:rPr>
              <w:t xml:space="preserve"> metrics can be applied towards multiple objectives</w:t>
            </w:r>
            <w:r>
              <w:rPr>
                <w:rFonts w:ascii="Times New Roman"/>
                <w:sz w:val="18"/>
                <w:szCs w:val="20"/>
              </w:rPr>
              <w:t xml:space="preserve">. So, </w:t>
            </w:r>
            <w:r w:rsidR="00C21DAC">
              <w:rPr>
                <w:rFonts w:ascii="Times New Roman"/>
                <w:sz w:val="18"/>
                <w:szCs w:val="20"/>
              </w:rPr>
              <w:t xml:space="preserve">while rate reviews may not </w:t>
            </w:r>
            <w:r>
              <w:rPr>
                <w:rFonts w:ascii="Times New Roman"/>
                <w:sz w:val="18"/>
                <w:szCs w:val="20"/>
              </w:rPr>
              <w:t>be the only avenue to address</w:t>
            </w:r>
            <w:r w:rsidR="00C21DAC">
              <w:rPr>
                <w:rFonts w:ascii="Times New Roman"/>
                <w:sz w:val="18"/>
                <w:szCs w:val="20"/>
              </w:rPr>
              <w:t xml:space="preserve"> policy objectives</w:t>
            </w:r>
            <w:r>
              <w:rPr>
                <w:rFonts w:ascii="Times New Roman"/>
                <w:sz w:val="18"/>
                <w:szCs w:val="20"/>
              </w:rPr>
              <w:t xml:space="preserve">, it certainly can and should be one of multiple avenues pursued to achieve policy objectives. </w:t>
            </w:r>
            <w:r w:rsidR="00C21DAC">
              <w:rPr>
                <w:rFonts w:ascii="Times New Roman"/>
                <w:sz w:val="18"/>
                <w:szCs w:val="20"/>
              </w:rPr>
              <w:t xml:space="preserve"> </w:t>
            </w:r>
            <w:r w:rsidR="0004343D">
              <w:rPr>
                <w:rFonts w:ascii="Times New Roman"/>
                <w:sz w:val="18"/>
                <w:szCs w:val="20"/>
              </w:rPr>
              <w:t xml:space="preserve">Approving rates is in many respects approving a </w:t>
            </w:r>
            <w:r w:rsidR="00DC2ABA">
              <w:rPr>
                <w:rFonts w:ascii="Times New Roman"/>
                <w:sz w:val="18"/>
                <w:szCs w:val="20"/>
              </w:rPr>
              <w:t>utility</w:t>
            </w:r>
            <w:r w:rsidR="00DC2ABA">
              <w:rPr>
                <w:rFonts w:ascii="Times New Roman"/>
                <w:sz w:val="18"/>
                <w:szCs w:val="20"/>
              </w:rPr>
              <w:t>’</w:t>
            </w:r>
            <w:r w:rsidR="00DC2ABA">
              <w:rPr>
                <w:rFonts w:ascii="Times New Roman"/>
                <w:sz w:val="18"/>
                <w:szCs w:val="20"/>
              </w:rPr>
              <w:t>s planned operations. Thinking</w:t>
            </w:r>
            <w:r w:rsidR="00722DA6">
              <w:rPr>
                <w:rFonts w:ascii="Times New Roman"/>
                <w:sz w:val="18"/>
                <w:szCs w:val="20"/>
              </w:rPr>
              <w:t xml:space="preserve"> both about ratemaking and about what rates are being paid to support is important. </w:t>
            </w:r>
          </w:p>
          <w:p w14:paraId="5B0F12D0" w14:textId="77777777" w:rsidR="00CE7B75" w:rsidRDefault="00CE7B75" w:rsidP="00754FD1">
            <w:pPr>
              <w:pStyle w:val="TableParagraph"/>
              <w:keepLines/>
              <w:widowControl/>
              <w:rPr>
                <w:rFonts w:ascii="Times New Roman"/>
                <w:sz w:val="18"/>
                <w:szCs w:val="20"/>
              </w:rPr>
            </w:pPr>
          </w:p>
          <w:p w14:paraId="3C53784A" w14:textId="65D80613" w:rsidR="005E4E9F" w:rsidRPr="00AB56BB" w:rsidRDefault="00C21DAC" w:rsidP="00754FD1">
            <w:pPr>
              <w:pStyle w:val="TableParagraph"/>
              <w:keepLines/>
              <w:widowControl/>
              <w:rPr>
                <w:rFonts w:ascii="Times New Roman"/>
                <w:sz w:val="18"/>
                <w:szCs w:val="20"/>
              </w:rPr>
            </w:pPr>
            <w:r>
              <w:rPr>
                <w:rFonts w:ascii="Times New Roman"/>
                <w:sz w:val="18"/>
                <w:szCs w:val="20"/>
              </w:rPr>
              <w:t>For instance, h</w:t>
            </w:r>
            <w:r w:rsidRPr="0079494A">
              <w:rPr>
                <w:rFonts w:ascii="Times New Roman"/>
                <w:sz w:val="18"/>
                <w:szCs w:val="20"/>
              </w:rPr>
              <w:t>ealth and environmental justice objectives may use a combination of metrics such as heat rate to measure efficiency, stack emissions to quantify total emissions by type, and air quality monitors in nearby communities or at the fenceline to evaluate emission levels in surrounding communities, or even air quality indices to establish baseline levels of ambient air quality in the environment.</w:t>
            </w:r>
            <w:r>
              <w:rPr>
                <w:rFonts w:ascii="Times New Roman"/>
                <w:sz w:val="18"/>
                <w:szCs w:val="20"/>
              </w:rPr>
              <w:t xml:space="preserve"> Setting a baseline for utility operational impacts</w:t>
            </w:r>
            <w:r w:rsidR="00C718A3">
              <w:rPr>
                <w:rFonts w:ascii="Times New Roman"/>
                <w:sz w:val="18"/>
                <w:szCs w:val="20"/>
              </w:rPr>
              <w:t xml:space="preserve"> </w:t>
            </w:r>
            <w:r>
              <w:rPr>
                <w:rFonts w:ascii="Times New Roman"/>
                <w:sz w:val="18"/>
                <w:szCs w:val="20"/>
              </w:rPr>
              <w:t xml:space="preserve">in relationship </w:t>
            </w:r>
            <w:r w:rsidR="00C718A3">
              <w:rPr>
                <w:rFonts w:ascii="Times New Roman"/>
                <w:sz w:val="18"/>
                <w:szCs w:val="20"/>
              </w:rPr>
              <w:t>to</w:t>
            </w:r>
            <w:r>
              <w:rPr>
                <w:rFonts w:ascii="Times New Roman"/>
                <w:sz w:val="18"/>
                <w:szCs w:val="20"/>
              </w:rPr>
              <w:t xml:space="preserve"> policy objectives</w:t>
            </w:r>
            <w:r w:rsidR="00C718A3">
              <w:rPr>
                <w:rFonts w:ascii="Times New Roman"/>
                <w:sz w:val="18"/>
                <w:szCs w:val="20"/>
              </w:rPr>
              <w:t xml:space="preserve">, like </w:t>
            </w:r>
            <w:r w:rsidR="00825511">
              <w:rPr>
                <w:rFonts w:ascii="Times New Roman"/>
                <w:sz w:val="18"/>
                <w:szCs w:val="20"/>
              </w:rPr>
              <w:t>zeroing out carbon in the economy and ensuring no group of people experience disproportionate negative impacts</w:t>
            </w:r>
            <w:r w:rsidR="006D6B91">
              <w:rPr>
                <w:rFonts w:ascii="Times New Roman"/>
                <w:sz w:val="18"/>
                <w:szCs w:val="20"/>
              </w:rPr>
              <w:t>,</w:t>
            </w:r>
            <w:r>
              <w:rPr>
                <w:rFonts w:ascii="Times New Roman"/>
                <w:sz w:val="18"/>
                <w:szCs w:val="20"/>
              </w:rPr>
              <w:t xml:space="preserve"> can help to paint a more complete picture</w:t>
            </w:r>
            <w:r w:rsidR="004833CB">
              <w:rPr>
                <w:rFonts w:ascii="Times New Roman"/>
                <w:sz w:val="18"/>
                <w:szCs w:val="20"/>
              </w:rPr>
              <w:t xml:space="preserve"> </w:t>
            </w:r>
            <w:r w:rsidR="00916AFA">
              <w:rPr>
                <w:rFonts w:ascii="Times New Roman"/>
                <w:sz w:val="18"/>
                <w:szCs w:val="20"/>
              </w:rPr>
              <w:t xml:space="preserve">of </w:t>
            </w:r>
            <w:r w:rsidR="004833CB">
              <w:rPr>
                <w:rFonts w:ascii="Times New Roman"/>
                <w:sz w:val="18"/>
                <w:szCs w:val="20"/>
              </w:rPr>
              <w:t>what rates are funding</w:t>
            </w:r>
            <w:r>
              <w:rPr>
                <w:rFonts w:ascii="Times New Roman"/>
                <w:sz w:val="18"/>
                <w:szCs w:val="20"/>
              </w:rPr>
              <w:t>.</w:t>
            </w:r>
            <w:r w:rsidR="00916AFA">
              <w:rPr>
                <w:rFonts w:ascii="Times New Roman"/>
                <w:sz w:val="18"/>
                <w:szCs w:val="20"/>
              </w:rPr>
              <w:t xml:space="preserve"> A rate case may be an appropriate time to seek this more comprehensive info and or in a long term resource planning process</w:t>
            </w:r>
            <w:r w:rsidR="007D26AD">
              <w:rPr>
                <w:rFonts w:ascii="Times New Roman"/>
                <w:sz w:val="18"/>
                <w:szCs w:val="20"/>
              </w:rPr>
              <w:t>.</w:t>
            </w: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3F7F9D22" w:rsidR="00AB56BB" w:rsidRPr="00AB56BB" w:rsidRDefault="00741E9E" w:rsidP="00A47D47">
            <w:pPr>
              <w:pStyle w:val="TableParagraph"/>
              <w:keepLines/>
              <w:widowControl/>
              <w:jc w:val="center"/>
              <w:rPr>
                <w:rFonts w:ascii="Times New Roman"/>
                <w:sz w:val="18"/>
                <w:szCs w:val="20"/>
              </w:rPr>
            </w:pPr>
            <w:r>
              <w:rPr>
                <w:rFonts w:ascii="Times New Roman"/>
                <w:sz w:val="18"/>
                <w:szCs w:val="20"/>
              </w:rPr>
              <w:t>-</w:t>
            </w:r>
          </w:p>
        </w:tc>
        <w:tc>
          <w:tcPr>
            <w:tcW w:w="3296" w:type="dxa"/>
          </w:tcPr>
          <w:p w14:paraId="337B91DE" w14:textId="77777777" w:rsidR="007D26AD" w:rsidRDefault="00741E9E" w:rsidP="005A69A8">
            <w:pPr>
              <w:pStyle w:val="TableParagraph"/>
              <w:keepLines/>
              <w:widowControl/>
              <w:rPr>
                <w:rFonts w:ascii="Times New Roman"/>
                <w:sz w:val="18"/>
                <w:szCs w:val="20"/>
              </w:rPr>
            </w:pPr>
            <w:r>
              <w:rPr>
                <w:rFonts w:ascii="Times New Roman"/>
                <w:sz w:val="18"/>
                <w:szCs w:val="18"/>
              </w:rPr>
              <w:t xml:space="preserve">This mechanism </w:t>
            </w:r>
            <w:r>
              <w:rPr>
                <w:rFonts w:ascii="Times New Roman"/>
                <w:sz w:val="18"/>
                <w:szCs w:val="20"/>
              </w:rPr>
              <w:t>disincentivize</w:t>
            </w:r>
            <w:r w:rsidR="00C73AE7">
              <w:rPr>
                <w:rFonts w:ascii="Times New Roman"/>
                <w:sz w:val="18"/>
                <w:szCs w:val="20"/>
              </w:rPr>
              <w:t>s</w:t>
            </w:r>
            <w:r>
              <w:rPr>
                <w:rFonts w:ascii="Times New Roman"/>
                <w:sz w:val="18"/>
                <w:szCs w:val="20"/>
              </w:rPr>
              <w:t xml:space="preserve"> achieving environmental justice and equity to the extent basis point adder consideration does not establish a baseline of meeting existing policy goals first.</w:t>
            </w:r>
          </w:p>
          <w:p w14:paraId="24BD363F" w14:textId="77777777" w:rsidR="007D26AD" w:rsidRDefault="007D26AD" w:rsidP="005A69A8">
            <w:pPr>
              <w:pStyle w:val="TableParagraph"/>
              <w:keepLines/>
              <w:widowControl/>
              <w:rPr>
                <w:rFonts w:ascii="Times New Roman"/>
                <w:sz w:val="18"/>
                <w:szCs w:val="20"/>
              </w:rPr>
            </w:pPr>
          </w:p>
          <w:p w14:paraId="053409F0" w14:textId="581A4D11" w:rsidR="00AB56BB" w:rsidRPr="00AB56BB" w:rsidRDefault="00741E9E" w:rsidP="005A69A8">
            <w:pPr>
              <w:pStyle w:val="TableParagraph"/>
              <w:keepLines/>
              <w:widowControl/>
              <w:rPr>
                <w:rFonts w:ascii="Times New Roman"/>
                <w:sz w:val="18"/>
                <w:szCs w:val="18"/>
              </w:rPr>
            </w:pPr>
            <w:r>
              <w:rPr>
                <w:rFonts w:ascii="Times New Roman"/>
                <w:sz w:val="18"/>
                <w:szCs w:val="20"/>
              </w:rPr>
              <w:t>Entertaining earnings adjustments in the absence of an established baseline and confirmation that the baseline has been met disincentivizes pursuing</w:t>
            </w:r>
            <w:r w:rsidR="002E6A30">
              <w:rPr>
                <w:rFonts w:ascii="Times New Roman"/>
                <w:sz w:val="18"/>
                <w:szCs w:val="20"/>
              </w:rPr>
              <w:t xml:space="preserve"> and exceeding</w:t>
            </w:r>
            <w:r>
              <w:rPr>
                <w:rFonts w:ascii="Times New Roman"/>
                <w:sz w:val="18"/>
                <w:szCs w:val="20"/>
              </w:rPr>
              <w:t xml:space="preserve"> established policy objectives because utilities are permitted to be considered for </w:t>
            </w:r>
            <w:r>
              <w:rPr>
                <w:rFonts w:ascii="Times New Roman"/>
                <w:sz w:val="18"/>
                <w:szCs w:val="20"/>
              </w:rPr>
              <w:t>“</w:t>
            </w:r>
            <w:r>
              <w:rPr>
                <w:rFonts w:ascii="Times New Roman"/>
                <w:sz w:val="18"/>
                <w:szCs w:val="20"/>
              </w:rPr>
              <w:t>adders</w:t>
            </w:r>
            <w:r>
              <w:rPr>
                <w:rFonts w:ascii="Times New Roman"/>
                <w:sz w:val="18"/>
                <w:szCs w:val="20"/>
              </w:rPr>
              <w:t>”</w:t>
            </w:r>
            <w:r>
              <w:rPr>
                <w:rFonts w:ascii="Times New Roman"/>
                <w:sz w:val="18"/>
                <w:szCs w:val="20"/>
              </w:rPr>
              <w:t xml:space="preserve"> despite not having met the bare minimum.</w:t>
            </w:r>
          </w:p>
        </w:tc>
        <w:tc>
          <w:tcPr>
            <w:tcW w:w="4534" w:type="dxa"/>
          </w:tcPr>
          <w:p w14:paraId="386DF13D" w14:textId="359022B2"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77777777" w:rsidR="00AB56BB" w:rsidRPr="00AB56BB" w:rsidRDefault="00AB56BB" w:rsidP="00A47D47">
            <w:pPr>
              <w:pStyle w:val="TableParagraph"/>
              <w:keepLines/>
              <w:widowControl/>
              <w:jc w:val="center"/>
              <w:rPr>
                <w:rFonts w:ascii="Times New Roman"/>
                <w:sz w:val="18"/>
                <w:szCs w:val="20"/>
              </w:rPr>
            </w:pP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473DB7EB" w:rsidR="00170B8D" w:rsidRPr="00AB56BB" w:rsidRDefault="005F223A" w:rsidP="00A47D47">
            <w:pPr>
              <w:pStyle w:val="TableParagraph"/>
              <w:keepLines/>
              <w:widowControl/>
              <w:jc w:val="center"/>
              <w:rPr>
                <w:rFonts w:ascii="Times New Roman"/>
                <w:sz w:val="18"/>
                <w:szCs w:val="20"/>
              </w:rPr>
            </w:pPr>
            <w:r>
              <w:rPr>
                <w:rFonts w:ascii="Times New Roman"/>
                <w:sz w:val="18"/>
                <w:szCs w:val="20"/>
              </w:rPr>
              <w:t>-</w:t>
            </w:r>
          </w:p>
        </w:tc>
        <w:tc>
          <w:tcPr>
            <w:tcW w:w="3296" w:type="dxa"/>
          </w:tcPr>
          <w:p w14:paraId="24EEB8D2" w14:textId="7640E0E1" w:rsidR="00170B8D" w:rsidRDefault="00683B64" w:rsidP="00754FD1">
            <w:pPr>
              <w:pStyle w:val="TableParagraph"/>
              <w:keepLines/>
              <w:widowControl/>
              <w:rPr>
                <w:rFonts w:ascii="Times New Roman"/>
                <w:sz w:val="18"/>
                <w:szCs w:val="18"/>
              </w:rPr>
            </w:pPr>
            <w:r>
              <w:rPr>
                <w:rFonts w:ascii="Times New Roman"/>
                <w:sz w:val="18"/>
                <w:szCs w:val="18"/>
              </w:rPr>
              <w:t xml:space="preserve">Virginia customer bills </w:t>
            </w:r>
            <w:r w:rsidR="004A147A">
              <w:rPr>
                <w:rFonts w:ascii="Times New Roman"/>
                <w:sz w:val="18"/>
                <w:szCs w:val="18"/>
              </w:rPr>
              <w:t>have increased largely due to RAC increases over the years. RACs seem to be overutilized in Virginia, such that the tru</w:t>
            </w:r>
            <w:r w:rsidR="004F2AE6">
              <w:rPr>
                <w:rFonts w:ascii="Times New Roman"/>
                <w:sz w:val="18"/>
                <w:szCs w:val="18"/>
              </w:rPr>
              <w:t>e</w:t>
            </w:r>
            <w:r w:rsidR="004A147A">
              <w:rPr>
                <w:rFonts w:ascii="Times New Roman"/>
                <w:sz w:val="18"/>
                <w:szCs w:val="18"/>
              </w:rPr>
              <w:t xml:space="preserve"> cost of service is unclear</w:t>
            </w:r>
            <w:r w:rsidR="005F223A">
              <w:rPr>
                <w:rFonts w:ascii="Times New Roman"/>
                <w:sz w:val="18"/>
                <w:szCs w:val="18"/>
              </w:rPr>
              <w:t xml:space="preserve"> given the many options for recovery</w:t>
            </w:r>
            <w:r w:rsidR="004F2AE6">
              <w:rPr>
                <w:rFonts w:ascii="Times New Roman"/>
                <w:sz w:val="18"/>
                <w:szCs w:val="18"/>
              </w:rPr>
              <w:t xml:space="preserve"> of capital project costs</w:t>
            </w:r>
            <w:r w:rsidR="005F223A">
              <w:rPr>
                <w:rFonts w:ascii="Times New Roman"/>
                <w:sz w:val="18"/>
                <w:szCs w:val="18"/>
              </w:rPr>
              <w:t xml:space="preserve"> outside of the rate base.</w:t>
            </w:r>
          </w:p>
          <w:p w14:paraId="0F11DA0A" w14:textId="77777777" w:rsidR="005F223A" w:rsidRDefault="005F223A" w:rsidP="00754FD1">
            <w:pPr>
              <w:pStyle w:val="TableParagraph"/>
              <w:keepLines/>
              <w:widowControl/>
              <w:rPr>
                <w:rFonts w:ascii="Times New Roman"/>
                <w:sz w:val="18"/>
                <w:szCs w:val="18"/>
              </w:rPr>
            </w:pPr>
          </w:p>
          <w:p w14:paraId="24774D2A" w14:textId="129F6250" w:rsidR="005F223A" w:rsidRPr="073D5F75" w:rsidRDefault="005F223A" w:rsidP="00754FD1">
            <w:pPr>
              <w:pStyle w:val="TableParagraph"/>
              <w:keepLines/>
              <w:widowControl/>
              <w:rPr>
                <w:rFonts w:ascii="Times New Roman"/>
                <w:sz w:val="18"/>
                <w:szCs w:val="18"/>
              </w:rPr>
            </w:pPr>
            <w:r>
              <w:rPr>
                <w:rFonts w:ascii="Times New Roman"/>
                <w:sz w:val="18"/>
                <w:szCs w:val="18"/>
              </w:rPr>
              <w:t>This does not incent the utility to keep costs lo</w:t>
            </w:r>
            <w:r w:rsidR="004F2AE6">
              <w:rPr>
                <w:rFonts w:ascii="Times New Roman"/>
                <w:sz w:val="18"/>
                <w:szCs w:val="18"/>
              </w:rPr>
              <w:t>w</w:t>
            </w:r>
            <w:r>
              <w:rPr>
                <w:rFonts w:ascii="Times New Roman"/>
                <w:sz w:val="18"/>
                <w:szCs w:val="18"/>
              </w:rPr>
              <w:t>,</w:t>
            </w:r>
            <w:r w:rsidR="004F2AE6">
              <w:rPr>
                <w:rFonts w:ascii="Times New Roman"/>
                <w:sz w:val="18"/>
                <w:szCs w:val="18"/>
              </w:rPr>
              <w:t xml:space="preserve"> rather it continues to incent </w:t>
            </w:r>
            <w:r w:rsidR="004F2AE6">
              <w:rPr>
                <w:rFonts w:ascii="Times New Roman"/>
                <w:sz w:val="18"/>
                <w:szCs w:val="18"/>
              </w:rPr>
              <w:t>“</w:t>
            </w:r>
            <w:r w:rsidR="004F2AE6">
              <w:rPr>
                <w:rFonts w:ascii="Times New Roman"/>
                <w:sz w:val="18"/>
                <w:szCs w:val="18"/>
              </w:rPr>
              <w:t>gold plating</w:t>
            </w:r>
            <w:r w:rsidR="004F2AE6">
              <w:rPr>
                <w:rFonts w:ascii="Times New Roman"/>
                <w:sz w:val="18"/>
                <w:szCs w:val="18"/>
              </w:rPr>
              <w:t>”</w:t>
            </w:r>
            <w:r w:rsidR="004F2AE6">
              <w:rPr>
                <w:rFonts w:ascii="Times New Roman"/>
                <w:sz w:val="18"/>
                <w:szCs w:val="18"/>
              </w:rPr>
              <w:t xml:space="preserve"> and obscures the true cost of service. Given this, the RAC structure appears to disincentivize equity focused efforts like </w:t>
            </w:r>
            <w:r>
              <w:rPr>
                <w:rFonts w:ascii="Times New Roman"/>
                <w:sz w:val="18"/>
                <w:szCs w:val="18"/>
              </w:rPr>
              <w:t>decreas</w:t>
            </w:r>
            <w:r w:rsidR="004F2AE6">
              <w:rPr>
                <w:rFonts w:ascii="Times New Roman"/>
                <w:sz w:val="18"/>
                <w:szCs w:val="18"/>
              </w:rPr>
              <w:t>ing</w:t>
            </w:r>
            <w:r>
              <w:rPr>
                <w:rFonts w:ascii="Times New Roman"/>
                <w:sz w:val="18"/>
                <w:szCs w:val="18"/>
              </w:rPr>
              <w:t xml:space="preserve"> energy burden for overburdened </w:t>
            </w:r>
            <w:r>
              <w:rPr>
                <w:rFonts w:ascii="Times New Roman"/>
                <w:sz w:val="18"/>
                <w:szCs w:val="18"/>
              </w:rPr>
              <w:lastRenderedPageBreak/>
              <w:t>households</w:t>
            </w:r>
            <w:r w:rsidR="004F2AE6">
              <w:rPr>
                <w:rFonts w:ascii="Times New Roman"/>
                <w:sz w:val="18"/>
                <w:szCs w:val="18"/>
              </w:rPr>
              <w:t xml:space="preserve"> and also generally keeps cost higher than necessary for all households.</w:t>
            </w: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A47D47">
            <w:pPr>
              <w:pStyle w:val="TableParagraph"/>
              <w:keepLines/>
              <w:widowControl/>
              <w:jc w:val="center"/>
              <w:rPr>
                <w:rFonts w:ascii="Times New Roman"/>
                <w:sz w:val="18"/>
                <w:szCs w:val="20"/>
              </w:rPr>
            </w:pP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A47D47">
            <w:pPr>
              <w:pStyle w:val="TableParagraph"/>
              <w:keepLines/>
              <w:widowControl/>
              <w:jc w:val="center"/>
              <w:rPr>
                <w:rFonts w:ascii="Times New Roman"/>
                <w:sz w:val="18"/>
                <w:szCs w:val="20"/>
              </w:rPr>
            </w:pP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15A14D39" w:rsidR="00170B8D" w:rsidRPr="00AB56BB" w:rsidRDefault="00DB5278" w:rsidP="00A47D47">
            <w:pPr>
              <w:pStyle w:val="TableParagraph"/>
              <w:keepLines/>
              <w:widowControl/>
              <w:jc w:val="center"/>
              <w:rPr>
                <w:rFonts w:ascii="Times New Roman"/>
                <w:sz w:val="18"/>
                <w:szCs w:val="20"/>
              </w:rPr>
            </w:pPr>
            <w:r>
              <w:rPr>
                <w:rFonts w:ascii="Times New Roman"/>
                <w:sz w:val="18"/>
                <w:szCs w:val="20"/>
              </w:rPr>
              <w:t>0</w:t>
            </w: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0C0298A5" w:rsidR="00170B8D" w:rsidRPr="00AB56BB" w:rsidRDefault="00614408" w:rsidP="00754FD1">
            <w:pPr>
              <w:pStyle w:val="TableParagraph"/>
              <w:keepLines/>
              <w:widowControl/>
              <w:rPr>
                <w:rFonts w:ascii="Times New Roman"/>
                <w:sz w:val="18"/>
                <w:szCs w:val="20"/>
              </w:rPr>
            </w:pPr>
            <w:r>
              <w:rPr>
                <w:rFonts w:ascii="Times New Roman"/>
                <w:sz w:val="18"/>
                <w:szCs w:val="20"/>
              </w:rPr>
              <w:t>A</w:t>
            </w:r>
            <w:r w:rsidR="002D7680" w:rsidRPr="002D7680">
              <w:rPr>
                <w:rFonts w:ascii="Times New Roman"/>
                <w:sz w:val="18"/>
                <w:szCs w:val="20"/>
              </w:rPr>
              <w:t xml:space="preserve"> utility c</w:t>
            </w:r>
            <w:r>
              <w:rPr>
                <w:rFonts w:ascii="Times New Roman"/>
                <w:sz w:val="18"/>
                <w:szCs w:val="20"/>
              </w:rPr>
              <w:t>ould</w:t>
            </w:r>
            <w:r w:rsidR="002D7680" w:rsidRPr="002D7680">
              <w:rPr>
                <w:rFonts w:ascii="Times New Roman"/>
                <w:sz w:val="18"/>
                <w:szCs w:val="20"/>
              </w:rPr>
              <w:t xml:space="preserve"> further environmental justice through a robust hosting capacity analysis that incorporates sociodemographic </w:t>
            </w:r>
            <w:r>
              <w:rPr>
                <w:rFonts w:ascii="Times New Roman"/>
                <w:sz w:val="18"/>
                <w:szCs w:val="20"/>
              </w:rPr>
              <w:t xml:space="preserve">evaluation to better understand deployment of solutions and potential impacts for particular </w:t>
            </w:r>
            <w:r w:rsidR="00F10FF5">
              <w:rPr>
                <w:rFonts w:ascii="Times New Roman"/>
                <w:sz w:val="18"/>
                <w:szCs w:val="20"/>
              </w:rPr>
              <w:t>communities. Evaluating how demand response programs and D</w:t>
            </w:r>
            <w:r w:rsidR="00F91E97">
              <w:rPr>
                <w:rFonts w:ascii="Times New Roman"/>
                <w:sz w:val="18"/>
                <w:szCs w:val="20"/>
              </w:rPr>
              <w:t>SM</w:t>
            </w:r>
            <w:r w:rsidR="00F10FF5">
              <w:rPr>
                <w:rFonts w:ascii="Times New Roman"/>
                <w:sz w:val="18"/>
                <w:szCs w:val="20"/>
              </w:rPr>
              <w:t xml:space="preserve"> programs could impact</w:t>
            </w:r>
            <w:r w:rsidR="007C6065">
              <w:rPr>
                <w:rFonts w:ascii="Times New Roman"/>
                <w:sz w:val="18"/>
                <w:szCs w:val="20"/>
              </w:rPr>
              <w:t xml:space="preserve"> EJ, fenceline, and HED communities</w:t>
            </w:r>
            <w:r w:rsidR="00E50DB4">
              <w:rPr>
                <w:rFonts w:ascii="Times New Roman"/>
                <w:sz w:val="18"/>
                <w:szCs w:val="20"/>
              </w:rPr>
              <w:t xml:space="preserve"> would be an important step to better understand impacts of programs to</w:t>
            </w:r>
            <w:r w:rsidR="00C94D50">
              <w:rPr>
                <w:rFonts w:ascii="Times New Roman"/>
                <w:sz w:val="18"/>
                <w:szCs w:val="20"/>
              </w:rPr>
              <w:t xml:space="preserve"> better</w:t>
            </w:r>
            <w:r w:rsidR="00E50DB4">
              <w:rPr>
                <w:rFonts w:ascii="Times New Roman"/>
                <w:sz w:val="18"/>
                <w:szCs w:val="20"/>
              </w:rPr>
              <w:t xml:space="preserve"> inform evaluation of the</w:t>
            </w:r>
            <w:r w:rsidR="00C94D50">
              <w:rPr>
                <w:rFonts w:ascii="Times New Roman"/>
                <w:sz w:val="18"/>
                <w:szCs w:val="20"/>
              </w:rPr>
              <w:t xml:space="preserve"> program costs.</w:t>
            </w: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170B8D" w:rsidRPr="00AB56BB" w:rsidRDefault="00170B8D" w:rsidP="00A47D47">
            <w:pPr>
              <w:pStyle w:val="TableParagraph"/>
              <w:keepLines/>
              <w:widowControl/>
              <w:jc w:val="center"/>
              <w:rPr>
                <w:rFonts w:ascii="Times New Roman"/>
                <w:sz w:val="18"/>
                <w:szCs w:val="20"/>
              </w:rPr>
            </w:pP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02DC0E8D" w:rsidR="00170B8D" w:rsidRPr="00AB56BB" w:rsidRDefault="00C94D50" w:rsidP="00754FD1">
            <w:pPr>
              <w:pStyle w:val="TableParagraph"/>
              <w:keepLines/>
              <w:widowControl/>
              <w:rPr>
                <w:rFonts w:ascii="Times New Roman"/>
                <w:sz w:val="18"/>
                <w:szCs w:val="18"/>
              </w:rPr>
            </w:pPr>
            <w:r>
              <w:rPr>
                <w:rFonts w:ascii="Times New Roman"/>
                <w:sz w:val="18"/>
                <w:szCs w:val="18"/>
              </w:rPr>
              <w:t>Same as above.</w:t>
            </w: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170B8D" w:rsidRPr="00AB56BB" w:rsidRDefault="00170B8D" w:rsidP="00A47D47">
            <w:pPr>
              <w:pStyle w:val="TableParagraph"/>
              <w:keepLines/>
              <w:widowControl/>
              <w:jc w:val="center"/>
              <w:rPr>
                <w:rFonts w:ascii="Times New Roman"/>
                <w:sz w:val="18"/>
                <w:szCs w:val="20"/>
              </w:rPr>
            </w:pP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170B8D" w:rsidRPr="00AB56BB" w:rsidRDefault="00170B8D" w:rsidP="00A47D47">
            <w:pPr>
              <w:pStyle w:val="TableParagraph"/>
              <w:keepLines/>
              <w:widowControl/>
              <w:jc w:val="center"/>
              <w:rPr>
                <w:rFonts w:ascii="Times New Roman"/>
                <w:sz w:val="18"/>
                <w:szCs w:val="20"/>
              </w:rPr>
            </w:pP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0B6C9468" w:rsidR="00170B8D" w:rsidRPr="00AB56BB" w:rsidRDefault="000F7018" w:rsidP="00A47D47">
            <w:pPr>
              <w:pStyle w:val="TableParagraph"/>
              <w:keepLines/>
              <w:widowControl/>
              <w:jc w:val="center"/>
              <w:rPr>
                <w:rFonts w:ascii="Times New Roman"/>
                <w:sz w:val="18"/>
                <w:szCs w:val="20"/>
              </w:rPr>
            </w:pPr>
            <w:r>
              <w:rPr>
                <w:rFonts w:ascii="Times New Roman"/>
                <w:sz w:val="18"/>
                <w:szCs w:val="20"/>
              </w:rPr>
              <w:t>-</w:t>
            </w:r>
          </w:p>
        </w:tc>
        <w:tc>
          <w:tcPr>
            <w:tcW w:w="3296" w:type="dxa"/>
          </w:tcPr>
          <w:p w14:paraId="6CCBB9E7" w14:textId="0DC7AD6C" w:rsidR="00CF5481" w:rsidRDefault="00165C7C" w:rsidP="00754FD1">
            <w:pPr>
              <w:pStyle w:val="TableParagraph"/>
              <w:keepLines/>
              <w:widowControl/>
              <w:rPr>
                <w:rFonts w:ascii="Times New Roman"/>
                <w:sz w:val="18"/>
                <w:szCs w:val="20"/>
              </w:rPr>
            </w:pPr>
            <w:r>
              <w:rPr>
                <w:rFonts w:ascii="Times New Roman"/>
                <w:sz w:val="18"/>
                <w:szCs w:val="20"/>
              </w:rPr>
              <w:t xml:space="preserve">The current regulatory construct does not incent pursuit of clean technologies over polluting ones. </w:t>
            </w:r>
            <w:r w:rsidR="00697110">
              <w:rPr>
                <w:rFonts w:ascii="Times New Roman"/>
                <w:sz w:val="18"/>
                <w:szCs w:val="20"/>
              </w:rPr>
              <w:t>Similarly, it does not incent increased utilization</w:t>
            </w:r>
            <w:r w:rsidR="00F4651B">
              <w:rPr>
                <w:rFonts w:ascii="Times New Roman"/>
                <w:sz w:val="18"/>
                <w:szCs w:val="20"/>
              </w:rPr>
              <w:t xml:space="preserve"> of</w:t>
            </w:r>
            <w:r w:rsidR="00697110">
              <w:rPr>
                <w:rFonts w:ascii="Times New Roman"/>
                <w:sz w:val="18"/>
                <w:szCs w:val="20"/>
              </w:rPr>
              <w:t xml:space="preserve"> PPA</w:t>
            </w:r>
            <w:r w:rsidR="00F4651B">
              <w:rPr>
                <w:rFonts w:ascii="Times New Roman"/>
                <w:sz w:val="18"/>
                <w:szCs w:val="20"/>
              </w:rPr>
              <w:t xml:space="preserve">s (i.e., over and above </w:t>
            </w:r>
            <w:r w:rsidR="00697110">
              <w:rPr>
                <w:rFonts w:ascii="Times New Roman"/>
                <w:sz w:val="18"/>
                <w:szCs w:val="20"/>
              </w:rPr>
              <w:t>Company owned projects</w:t>
            </w:r>
            <w:r w:rsidR="00F4651B">
              <w:rPr>
                <w:rFonts w:ascii="Times New Roman"/>
                <w:sz w:val="18"/>
                <w:szCs w:val="20"/>
              </w:rPr>
              <w:t>)</w:t>
            </w:r>
            <w:r w:rsidR="000F7018">
              <w:rPr>
                <w:rFonts w:ascii="Times New Roman"/>
                <w:sz w:val="18"/>
                <w:szCs w:val="20"/>
              </w:rPr>
              <w:t xml:space="preserve">, although PPAs </w:t>
            </w:r>
            <w:r w:rsidR="00215E00">
              <w:rPr>
                <w:rFonts w:ascii="Times New Roman"/>
                <w:sz w:val="18"/>
                <w:szCs w:val="20"/>
              </w:rPr>
              <w:t>offer risk-mitigating opportunitie</w:t>
            </w:r>
            <w:r w:rsidR="003632D1">
              <w:rPr>
                <w:rFonts w:ascii="Times New Roman"/>
                <w:sz w:val="18"/>
                <w:szCs w:val="20"/>
              </w:rPr>
              <w:t>s.</w:t>
            </w:r>
            <w:r w:rsidR="0021775A">
              <w:rPr>
                <w:rFonts w:ascii="Times New Roman"/>
                <w:sz w:val="18"/>
                <w:szCs w:val="20"/>
              </w:rPr>
              <w:t xml:space="preserve"> Essentially, favoring polluting capital projects tends toward increasing environmental injustices as opposed to alleviating or eliminating them.</w:t>
            </w:r>
          </w:p>
          <w:p w14:paraId="657833BC" w14:textId="77777777" w:rsidR="00CF5481" w:rsidRDefault="00CF5481" w:rsidP="00754FD1">
            <w:pPr>
              <w:pStyle w:val="TableParagraph"/>
              <w:keepLines/>
              <w:widowControl/>
              <w:rPr>
                <w:rFonts w:ascii="Times New Roman"/>
                <w:sz w:val="18"/>
                <w:szCs w:val="20"/>
              </w:rPr>
            </w:pPr>
          </w:p>
          <w:p w14:paraId="69B97D06" w14:textId="0601AC33" w:rsidR="00170B8D" w:rsidRPr="00AB56BB" w:rsidRDefault="00165C7C" w:rsidP="00754FD1">
            <w:pPr>
              <w:pStyle w:val="TableParagraph"/>
              <w:keepLines/>
              <w:widowControl/>
              <w:rPr>
                <w:rFonts w:ascii="Times New Roman"/>
                <w:sz w:val="18"/>
                <w:szCs w:val="20"/>
              </w:rPr>
            </w:pPr>
            <w:r>
              <w:rPr>
                <w:rFonts w:ascii="Times New Roman"/>
                <w:sz w:val="18"/>
                <w:szCs w:val="20"/>
              </w:rPr>
              <w:t xml:space="preserve">Which means, </w:t>
            </w:r>
            <w:r w:rsidR="0039554D">
              <w:rPr>
                <w:rFonts w:ascii="Times New Roman"/>
                <w:sz w:val="18"/>
                <w:szCs w:val="20"/>
              </w:rPr>
              <w:t xml:space="preserve">communities already dealing with polluting power plants are not safe from additional infrastructure to support ongoing operation of these fossil fuel plants, nor are other communities free from proposals to build new </w:t>
            </w:r>
            <w:r w:rsidR="00E167FC">
              <w:rPr>
                <w:rFonts w:ascii="Times New Roman"/>
                <w:sz w:val="18"/>
                <w:szCs w:val="20"/>
              </w:rPr>
              <w:t xml:space="preserve">polluting plants. Adding insult to injury, electricity bills continue to increase as RAC utilization </w:t>
            </w:r>
            <w:r w:rsidR="00CF5481">
              <w:rPr>
                <w:rFonts w:ascii="Times New Roman"/>
                <w:sz w:val="18"/>
                <w:szCs w:val="20"/>
              </w:rPr>
              <w:t xml:space="preserve">remains available to the </w:t>
            </w:r>
            <w:r w:rsidR="006F6C46">
              <w:rPr>
                <w:rFonts w:ascii="Times New Roman"/>
                <w:sz w:val="18"/>
                <w:szCs w:val="20"/>
              </w:rPr>
              <w:t>utilities</w:t>
            </w:r>
            <w:r w:rsidR="00CF5481">
              <w:rPr>
                <w:rFonts w:ascii="Times New Roman"/>
                <w:sz w:val="18"/>
                <w:szCs w:val="20"/>
              </w:rPr>
              <w:t>.</w:t>
            </w: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77777777" w:rsidR="007629A1" w:rsidRPr="00AB56BB" w:rsidRDefault="007629A1" w:rsidP="00A47D47">
            <w:pPr>
              <w:pStyle w:val="TableParagraph"/>
              <w:keepLines/>
              <w:widowControl/>
              <w:jc w:val="center"/>
              <w:rPr>
                <w:rFonts w:ascii="Times New Roman"/>
                <w:sz w:val="18"/>
                <w:szCs w:val="20"/>
              </w:rPr>
            </w:pP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77777777" w:rsidR="007629A1" w:rsidRPr="00AB56BB" w:rsidRDefault="007629A1" w:rsidP="00A47D47">
            <w:pPr>
              <w:pStyle w:val="TableParagraph"/>
              <w:keepLines/>
              <w:widowControl/>
              <w:jc w:val="center"/>
              <w:rPr>
                <w:rFonts w:ascii="Times New Roman"/>
                <w:sz w:val="18"/>
                <w:szCs w:val="20"/>
              </w:rPr>
            </w:pP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AB56BB" w:rsidRPr="00AB56BB" w:rsidRDefault="00AB56BB" w:rsidP="00A47D47">
            <w:pPr>
              <w:pStyle w:val="TableParagraph"/>
              <w:keepLines/>
              <w:widowControl/>
              <w:jc w:val="center"/>
              <w:rPr>
                <w:rFonts w:ascii="Times New Roman"/>
                <w:sz w:val="18"/>
                <w:szCs w:val="20"/>
              </w:rPr>
            </w:pPr>
          </w:p>
        </w:tc>
        <w:tc>
          <w:tcPr>
            <w:tcW w:w="3296" w:type="dxa"/>
          </w:tcPr>
          <w:p w14:paraId="51B799F7" w14:textId="77777777"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w:t>
            </w:r>
            <w:r>
              <w:rPr>
                <w:b/>
                <w:spacing w:val="-2"/>
                <w:sz w:val="18"/>
                <w:szCs w:val="20"/>
              </w:rPr>
              <w:lastRenderedPageBreak/>
              <w:t xml:space="preserve">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lastRenderedPageBreak/>
              <w:t>ROE adjustment mechanisms</w:t>
            </w:r>
          </w:p>
        </w:tc>
        <w:tc>
          <w:tcPr>
            <w:tcW w:w="971" w:type="dxa"/>
            <w:gridSpan w:val="2"/>
          </w:tcPr>
          <w:p w14:paraId="3109531C" w14:textId="77777777" w:rsidR="00615B91" w:rsidRPr="00AB56BB" w:rsidRDefault="00615B91" w:rsidP="00A47D47">
            <w:pPr>
              <w:pStyle w:val="TableParagraph"/>
              <w:keepLines/>
              <w:widowControl/>
              <w:jc w:val="center"/>
              <w:rPr>
                <w:rFonts w:ascii="Times New Roman"/>
                <w:sz w:val="18"/>
                <w:szCs w:val="20"/>
              </w:rPr>
            </w:pPr>
          </w:p>
        </w:tc>
        <w:tc>
          <w:tcPr>
            <w:tcW w:w="3296" w:type="dxa"/>
          </w:tcPr>
          <w:p w14:paraId="4DC630B0" w14:textId="77777777" w:rsidR="00615B91" w:rsidRPr="00AB56BB" w:rsidRDefault="00615B91" w:rsidP="00754FD1">
            <w:pPr>
              <w:pStyle w:val="TableParagraph"/>
              <w:keepLines/>
              <w:widowControl/>
              <w:rPr>
                <w:rFonts w:ascii="Times New Roman"/>
                <w:sz w:val="18"/>
                <w:szCs w:val="20"/>
              </w:rPr>
            </w:pPr>
          </w:p>
        </w:tc>
        <w:tc>
          <w:tcPr>
            <w:tcW w:w="4534" w:type="dxa"/>
          </w:tcPr>
          <w:p w14:paraId="4746AFC5" w14:textId="48A64B01" w:rsidR="00615B91" w:rsidRPr="00AB56BB" w:rsidRDefault="00615B91" w:rsidP="00754FD1">
            <w:pPr>
              <w:pStyle w:val="TableParagraph"/>
              <w:keepLines/>
              <w:widowControl/>
              <w:rPr>
                <w:rFonts w:ascii="Times New Roman"/>
                <w:sz w:val="18"/>
                <w:szCs w:val="20"/>
              </w:rPr>
            </w:pP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388D4FDB" w:rsidR="00615B91" w:rsidRPr="00AB56BB" w:rsidRDefault="00B66579" w:rsidP="00A47D47">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74698B19" w:rsidR="00615B91" w:rsidRPr="00AB56BB" w:rsidRDefault="00B66579" w:rsidP="00754FD1">
            <w:pPr>
              <w:pStyle w:val="TableParagraph"/>
              <w:keepLines/>
              <w:widowControl/>
              <w:rPr>
                <w:rFonts w:ascii="Times New Roman"/>
                <w:sz w:val="18"/>
                <w:szCs w:val="20"/>
              </w:rPr>
            </w:pPr>
            <w:r>
              <w:rPr>
                <w:rFonts w:ascii="Times New Roman"/>
                <w:sz w:val="18"/>
                <w:szCs w:val="20"/>
              </w:rPr>
              <w:t xml:space="preserve">In theory optimizing and maximizing EE should lead to better EJ and equity outcomes. However, the current incentive structure does not seem to sufficiently incent utilities to go above and beyond the EERS. </w:t>
            </w:r>
          </w:p>
        </w:tc>
        <w:tc>
          <w:tcPr>
            <w:tcW w:w="4534" w:type="dxa"/>
          </w:tcPr>
          <w:p w14:paraId="7B5C067D" w14:textId="1064D1DA" w:rsidR="00615B91" w:rsidRPr="00AB56BB" w:rsidRDefault="00D64719" w:rsidP="00754FD1">
            <w:pPr>
              <w:pStyle w:val="TableParagraph"/>
              <w:keepLines/>
              <w:widowControl/>
              <w:rPr>
                <w:rFonts w:ascii="Times New Roman"/>
                <w:sz w:val="18"/>
                <w:szCs w:val="20"/>
              </w:rPr>
            </w:pPr>
            <w:r>
              <w:rPr>
                <w:rFonts w:ascii="Times New Roman"/>
                <w:sz w:val="18"/>
                <w:szCs w:val="20"/>
              </w:rPr>
              <w:t xml:space="preserve"> </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(Separate SCC PBR Case)</w:t>
            </w:r>
          </w:p>
        </w:tc>
        <w:tc>
          <w:tcPr>
            <w:tcW w:w="971" w:type="dxa"/>
            <w:gridSpan w:val="2"/>
          </w:tcPr>
          <w:p w14:paraId="13F803F6" w14:textId="3ACAC7EE" w:rsidR="00615B91" w:rsidRPr="00AB56BB" w:rsidRDefault="00441E76" w:rsidP="00A47D47">
            <w:pPr>
              <w:pStyle w:val="TableParagraph"/>
              <w:keepLines/>
              <w:widowControl/>
              <w:jc w:val="center"/>
              <w:rPr>
                <w:rFonts w:ascii="Times New Roman"/>
                <w:sz w:val="18"/>
                <w:szCs w:val="20"/>
              </w:rPr>
            </w:pPr>
            <w:r>
              <w:rPr>
                <w:rFonts w:ascii="Times New Roman"/>
                <w:sz w:val="18"/>
                <w:szCs w:val="20"/>
              </w:rPr>
              <w:t>0</w:t>
            </w:r>
          </w:p>
        </w:tc>
        <w:tc>
          <w:tcPr>
            <w:tcW w:w="3296" w:type="dxa"/>
          </w:tcPr>
          <w:p w14:paraId="2CBCBF72" w14:textId="1E610058" w:rsidR="00615B91" w:rsidRPr="00AB56BB" w:rsidRDefault="00210A06" w:rsidP="00754FD1">
            <w:pPr>
              <w:pStyle w:val="TableParagraph"/>
              <w:keepLines/>
              <w:widowControl/>
              <w:rPr>
                <w:rFonts w:ascii="Times New Roman"/>
                <w:sz w:val="18"/>
                <w:szCs w:val="20"/>
              </w:rPr>
            </w:pPr>
            <w:r>
              <w:rPr>
                <w:rFonts w:ascii="Times New Roman"/>
                <w:sz w:val="18"/>
                <w:szCs w:val="20"/>
              </w:rPr>
              <w:t xml:space="preserve">Staff has provided draft regulations in this docket, but the Commission has not taken further action since that filing on March 7, 2025. As a general matter, </w:t>
            </w:r>
            <w:r w:rsidR="007F0FDA">
              <w:rPr>
                <w:rFonts w:ascii="Times New Roman"/>
                <w:sz w:val="18"/>
                <w:szCs w:val="20"/>
              </w:rPr>
              <w:t xml:space="preserve">construing the four performance areas narrowly </w:t>
            </w:r>
            <w:r w:rsidR="000D33A7">
              <w:rPr>
                <w:rFonts w:ascii="Times New Roman"/>
                <w:sz w:val="18"/>
                <w:szCs w:val="20"/>
              </w:rPr>
              <w:t xml:space="preserve">is likely to limit real movement toward environmental justice outcomes, because </w:t>
            </w:r>
            <w:r w:rsidR="00F8002B">
              <w:rPr>
                <w:rFonts w:ascii="Times New Roman"/>
                <w:sz w:val="18"/>
                <w:szCs w:val="20"/>
              </w:rPr>
              <w:t xml:space="preserve">the construct traditionally utilized to evaluate </w:t>
            </w:r>
            <w:r w:rsidR="00A13ED3">
              <w:rPr>
                <w:rFonts w:ascii="Times New Roman"/>
                <w:sz w:val="18"/>
                <w:szCs w:val="20"/>
              </w:rPr>
              <w:t>gener</w:t>
            </w:r>
            <w:r w:rsidR="00F8002B">
              <w:rPr>
                <w:rFonts w:ascii="Times New Roman"/>
                <w:sz w:val="18"/>
                <w:szCs w:val="20"/>
              </w:rPr>
              <w:t xml:space="preserve">ating plant performance, reliability, customer service, and </w:t>
            </w:r>
            <w:r w:rsidR="0080096B">
              <w:rPr>
                <w:rFonts w:ascii="Times New Roman"/>
                <w:sz w:val="18"/>
                <w:szCs w:val="20"/>
              </w:rPr>
              <w:t>operating efficiency does not reflect contemplation of impacts and in particular harms to certain communities</w:t>
            </w:r>
            <w:r w:rsidR="00076421">
              <w:rPr>
                <w:rFonts w:ascii="Times New Roman"/>
                <w:sz w:val="18"/>
                <w:szCs w:val="20"/>
              </w:rPr>
              <w:t>.</w:t>
            </w:r>
          </w:p>
        </w:tc>
        <w:tc>
          <w:tcPr>
            <w:tcW w:w="4534" w:type="dxa"/>
          </w:tcPr>
          <w:p w14:paraId="70DAE233" w14:textId="7A3A940B" w:rsidR="00441E76" w:rsidRDefault="000A286C" w:rsidP="00754FD1">
            <w:pPr>
              <w:pStyle w:val="TableParagraph"/>
              <w:keepLines/>
              <w:widowControl/>
              <w:rPr>
                <w:rFonts w:ascii="Times New Roman"/>
                <w:sz w:val="18"/>
                <w:szCs w:val="20"/>
              </w:rPr>
            </w:pPr>
            <w:r>
              <w:rPr>
                <w:rFonts w:ascii="Times New Roman"/>
                <w:sz w:val="18"/>
                <w:szCs w:val="20"/>
              </w:rPr>
              <w:t xml:space="preserve">Another way to think about </w:t>
            </w:r>
            <w:r w:rsidR="00076421">
              <w:rPr>
                <w:rFonts w:ascii="Times New Roman"/>
                <w:sz w:val="18"/>
                <w:szCs w:val="20"/>
              </w:rPr>
              <w:t xml:space="preserve">performance mechanisms </w:t>
            </w:r>
            <w:r w:rsidR="00611FE6">
              <w:rPr>
                <w:rFonts w:ascii="Times New Roman"/>
                <w:sz w:val="18"/>
                <w:szCs w:val="20"/>
              </w:rPr>
              <w:t xml:space="preserve">is to consider specific </w:t>
            </w:r>
            <w:r>
              <w:rPr>
                <w:rFonts w:ascii="Times New Roman"/>
                <w:sz w:val="18"/>
                <w:szCs w:val="20"/>
              </w:rPr>
              <w:t>initiatives like</w:t>
            </w:r>
            <w:r w:rsidRPr="00F60954">
              <w:rPr>
                <w:rFonts w:ascii="Times New Roman"/>
                <w:sz w:val="18"/>
                <w:szCs w:val="20"/>
              </w:rPr>
              <w:t xml:space="preserve"> grid </w:t>
            </w:r>
            <w:r>
              <w:rPr>
                <w:rFonts w:ascii="Times New Roman"/>
                <w:sz w:val="18"/>
                <w:szCs w:val="20"/>
              </w:rPr>
              <w:t xml:space="preserve">modernization. </w:t>
            </w:r>
          </w:p>
          <w:p w14:paraId="51ADC099" w14:textId="77777777" w:rsidR="00441E76" w:rsidRDefault="00441E76" w:rsidP="00754FD1">
            <w:pPr>
              <w:pStyle w:val="TableParagraph"/>
              <w:keepLines/>
              <w:widowControl/>
              <w:rPr>
                <w:rFonts w:ascii="Times New Roman"/>
                <w:sz w:val="18"/>
                <w:szCs w:val="20"/>
              </w:rPr>
            </w:pPr>
          </w:p>
          <w:p w14:paraId="3833BA4E" w14:textId="574D4A65" w:rsidR="007A1D31" w:rsidRDefault="00E16ACE" w:rsidP="00754FD1">
            <w:pPr>
              <w:pStyle w:val="TableParagraph"/>
              <w:keepLines/>
              <w:widowControl/>
              <w:rPr>
                <w:rFonts w:ascii="Times New Roman"/>
                <w:sz w:val="18"/>
                <w:szCs w:val="20"/>
              </w:rPr>
            </w:pPr>
            <w:r>
              <w:rPr>
                <w:rFonts w:ascii="Times New Roman"/>
                <w:sz w:val="18"/>
                <w:szCs w:val="20"/>
              </w:rPr>
              <w:t>Tying this evaluation to environmental justice and equity concerns might mean that the PBR mechanism seeks to e</w:t>
            </w:r>
            <w:r w:rsidR="000A286C">
              <w:rPr>
                <w:rFonts w:ascii="Times New Roman"/>
                <w:sz w:val="18"/>
                <w:szCs w:val="20"/>
              </w:rPr>
              <w:t>valuat</w:t>
            </w:r>
            <w:r>
              <w:rPr>
                <w:rFonts w:ascii="Times New Roman"/>
                <w:sz w:val="18"/>
                <w:szCs w:val="20"/>
              </w:rPr>
              <w:t>e</w:t>
            </w:r>
            <w:r w:rsidR="000A286C">
              <w:rPr>
                <w:rFonts w:ascii="Times New Roman"/>
                <w:sz w:val="18"/>
                <w:szCs w:val="20"/>
              </w:rPr>
              <w:t xml:space="preserve"> </w:t>
            </w:r>
            <w:r w:rsidR="000A286C" w:rsidRPr="00F60954">
              <w:rPr>
                <w:rFonts w:ascii="Times New Roman"/>
                <w:sz w:val="18"/>
                <w:szCs w:val="20"/>
              </w:rPr>
              <w:t>the Company</w:t>
            </w:r>
            <w:r w:rsidR="000A286C" w:rsidRPr="00F60954">
              <w:rPr>
                <w:rFonts w:ascii="Times New Roman"/>
                <w:sz w:val="18"/>
                <w:szCs w:val="20"/>
              </w:rPr>
              <w:t>’</w:t>
            </w:r>
            <w:r w:rsidR="000A286C" w:rsidRPr="00F60954">
              <w:rPr>
                <w:rFonts w:ascii="Times New Roman"/>
                <w:sz w:val="18"/>
                <w:szCs w:val="20"/>
              </w:rPr>
              <w:t xml:space="preserve">s grid modernization efforts </w:t>
            </w:r>
            <w:r w:rsidR="000A286C">
              <w:rPr>
                <w:rFonts w:ascii="Times New Roman"/>
                <w:sz w:val="18"/>
                <w:szCs w:val="20"/>
              </w:rPr>
              <w:t xml:space="preserve">and the resultant impact </w:t>
            </w:r>
            <w:r w:rsidR="000A286C" w:rsidRPr="00F60954">
              <w:rPr>
                <w:rFonts w:ascii="Times New Roman"/>
                <w:sz w:val="18"/>
                <w:szCs w:val="20"/>
              </w:rPr>
              <w:t>on energy burden and affordability, local pollution, carbon emissions, access to reliable services, and access to grid capacity</w:t>
            </w:r>
            <w:r w:rsidR="000A286C">
              <w:rPr>
                <w:rFonts w:ascii="Times New Roman"/>
                <w:sz w:val="18"/>
                <w:szCs w:val="20"/>
              </w:rPr>
              <w:t xml:space="preserve"> specifically for EJ, fenceline, and HED </w:t>
            </w:r>
            <w:r w:rsidR="000A286C" w:rsidRPr="00F60954">
              <w:rPr>
                <w:rFonts w:ascii="Times New Roman"/>
                <w:sz w:val="18"/>
                <w:szCs w:val="20"/>
              </w:rPr>
              <w:t xml:space="preserve">communities </w:t>
            </w:r>
            <w:r w:rsidR="00441E76">
              <w:rPr>
                <w:rFonts w:ascii="Times New Roman"/>
                <w:sz w:val="18"/>
                <w:szCs w:val="20"/>
              </w:rPr>
              <w:t>c</w:t>
            </w:r>
            <w:r w:rsidR="000A286C">
              <w:rPr>
                <w:rFonts w:ascii="Times New Roman"/>
                <w:sz w:val="18"/>
                <w:szCs w:val="20"/>
              </w:rPr>
              <w:t>ould be undertaken</w:t>
            </w:r>
            <w:r w:rsidR="00441E76">
              <w:rPr>
                <w:rFonts w:ascii="Times New Roman"/>
                <w:sz w:val="18"/>
                <w:szCs w:val="20"/>
              </w:rPr>
              <w:t xml:space="preserve"> as starting point to evaluate community level and grid impacts.</w:t>
            </w:r>
          </w:p>
          <w:p w14:paraId="60B2E2CD" w14:textId="77777777" w:rsidR="000A286C" w:rsidRDefault="000A286C" w:rsidP="00754FD1">
            <w:pPr>
              <w:pStyle w:val="TableParagraph"/>
              <w:keepLines/>
              <w:widowControl/>
              <w:rPr>
                <w:rFonts w:ascii="Times New Roman"/>
                <w:sz w:val="18"/>
                <w:szCs w:val="20"/>
              </w:rPr>
            </w:pPr>
          </w:p>
          <w:p w14:paraId="0F9C1DC8" w14:textId="77777777" w:rsidR="007A1D31" w:rsidRDefault="00F32FC5" w:rsidP="00754FD1">
            <w:pPr>
              <w:pStyle w:val="TableParagraph"/>
              <w:keepLines/>
              <w:widowControl/>
              <w:rPr>
                <w:rFonts w:ascii="Times New Roman"/>
                <w:sz w:val="18"/>
                <w:szCs w:val="20"/>
              </w:rPr>
            </w:pPr>
            <w:r>
              <w:rPr>
                <w:rFonts w:ascii="Times New Roman"/>
                <w:sz w:val="18"/>
                <w:szCs w:val="20"/>
              </w:rPr>
              <w:t>In particular, metrics and scorecard utilization may present</w:t>
            </w:r>
            <w:r w:rsidR="007A1D31" w:rsidRPr="007A1D31">
              <w:rPr>
                <w:rFonts w:ascii="Times New Roman"/>
                <w:sz w:val="18"/>
                <w:szCs w:val="20"/>
              </w:rPr>
              <w:t xml:space="preserve"> an opportunity for the design, review, and implementation of grid modernization initiatives to be informed by and consider environmental justice and equity-based metrics and impacts.</w:t>
            </w:r>
          </w:p>
          <w:p w14:paraId="735B7EF0" w14:textId="77777777" w:rsidR="00F32FC5" w:rsidRDefault="00F32FC5" w:rsidP="00754FD1">
            <w:pPr>
              <w:pStyle w:val="TableParagraph"/>
              <w:keepLines/>
              <w:widowControl/>
              <w:rPr>
                <w:rFonts w:ascii="Times New Roman"/>
                <w:sz w:val="18"/>
                <w:szCs w:val="20"/>
              </w:rPr>
            </w:pPr>
          </w:p>
          <w:p w14:paraId="60095267" w14:textId="49591007" w:rsidR="00F32FC5" w:rsidRPr="00AB56BB" w:rsidRDefault="00116EF5" w:rsidP="00754FD1">
            <w:pPr>
              <w:pStyle w:val="TableParagraph"/>
              <w:keepLines/>
              <w:widowControl/>
              <w:rPr>
                <w:rFonts w:ascii="Times New Roman"/>
                <w:sz w:val="18"/>
                <w:szCs w:val="20"/>
              </w:rPr>
            </w:pPr>
            <w:r>
              <w:rPr>
                <w:rFonts w:ascii="Times New Roman"/>
                <w:sz w:val="18"/>
                <w:szCs w:val="20"/>
              </w:rPr>
              <w:t xml:space="preserve">See 2023 filing in NC: </w:t>
            </w:r>
            <w:hyperlink r:id="rId9" w:history="1">
              <w:r w:rsidRPr="00116EF5">
                <w:rPr>
                  <w:rStyle w:val="Hyperlink"/>
                  <w:rFonts w:ascii="Times New Roman"/>
                  <w:sz w:val="18"/>
                  <w:szCs w:val="20"/>
                </w:rPr>
                <w:t>ViewFile.aspx</w:t>
              </w:r>
            </w:hyperlink>
            <w:r>
              <w:rPr>
                <w:rFonts w:ascii="Times New Roman"/>
                <w:sz w:val="18"/>
                <w:szCs w:val="20"/>
              </w:rPr>
              <w:t xml:space="preserve"> for this and other ideas about </w:t>
            </w:r>
            <w:r w:rsidR="003B1719">
              <w:rPr>
                <w:rFonts w:ascii="Times New Roman"/>
                <w:sz w:val="18"/>
                <w:szCs w:val="20"/>
              </w:rPr>
              <w:t>grid modernization and environmental justice.</w:t>
            </w: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502F7D96" w:rsidR="00615B91" w:rsidRPr="00AB56BB" w:rsidRDefault="006D1806" w:rsidP="00A47D47">
            <w:pPr>
              <w:pStyle w:val="TableParagraph"/>
              <w:keepLines/>
              <w:widowControl/>
              <w:jc w:val="center"/>
              <w:rPr>
                <w:rFonts w:ascii="Times New Roman"/>
                <w:sz w:val="18"/>
                <w:szCs w:val="20"/>
              </w:rPr>
            </w:pPr>
            <w:r>
              <w:rPr>
                <w:rFonts w:ascii="Times New Roman"/>
                <w:sz w:val="18"/>
                <w:szCs w:val="20"/>
              </w:rPr>
              <w:t>-</w:t>
            </w:r>
          </w:p>
        </w:tc>
        <w:tc>
          <w:tcPr>
            <w:tcW w:w="3296" w:type="dxa"/>
          </w:tcPr>
          <w:p w14:paraId="062CC7D5" w14:textId="77777777" w:rsidR="00615B91" w:rsidRDefault="00B678A9" w:rsidP="00754FD1">
            <w:pPr>
              <w:pStyle w:val="TableParagraph"/>
              <w:keepLines/>
              <w:widowControl/>
              <w:rPr>
                <w:rFonts w:ascii="Times New Roman"/>
                <w:sz w:val="18"/>
                <w:szCs w:val="20"/>
              </w:rPr>
            </w:pPr>
            <w:r>
              <w:rPr>
                <w:rFonts w:ascii="Times New Roman"/>
                <w:sz w:val="18"/>
                <w:szCs w:val="20"/>
              </w:rPr>
              <w:t xml:space="preserve">The IRP as currently filed does not incent utilities to </w:t>
            </w:r>
            <w:r w:rsidR="000E34E2">
              <w:rPr>
                <w:rFonts w:ascii="Times New Roman"/>
                <w:sz w:val="18"/>
                <w:szCs w:val="20"/>
              </w:rPr>
              <w:t xml:space="preserve">pursue environmental justice in a comprehensive manner. Utilities default to the IRP being a </w:t>
            </w:r>
            <w:r w:rsidR="000E34E2">
              <w:rPr>
                <w:rFonts w:ascii="Times New Roman"/>
                <w:sz w:val="18"/>
                <w:szCs w:val="20"/>
              </w:rPr>
              <w:t>“</w:t>
            </w:r>
            <w:r w:rsidR="000E34E2">
              <w:rPr>
                <w:rFonts w:ascii="Times New Roman"/>
                <w:sz w:val="18"/>
                <w:szCs w:val="20"/>
              </w:rPr>
              <w:t>planning document</w:t>
            </w:r>
            <w:r w:rsidR="000E34E2">
              <w:rPr>
                <w:rFonts w:ascii="Times New Roman"/>
                <w:sz w:val="18"/>
                <w:szCs w:val="20"/>
              </w:rPr>
              <w:t>”</w:t>
            </w:r>
            <w:r w:rsidR="000E34E2">
              <w:rPr>
                <w:rFonts w:ascii="Times New Roman"/>
                <w:sz w:val="18"/>
                <w:szCs w:val="20"/>
              </w:rPr>
              <w:t xml:space="preserve"> and</w:t>
            </w:r>
            <w:r w:rsidR="002C6A69">
              <w:rPr>
                <w:rFonts w:ascii="Times New Roman"/>
                <w:sz w:val="18"/>
                <w:szCs w:val="20"/>
              </w:rPr>
              <w:t xml:space="preserve"> because of this, limit their analysis of environmental justice to</w:t>
            </w:r>
            <w:r w:rsidR="00BE0A5D">
              <w:rPr>
                <w:rFonts w:ascii="Times New Roman"/>
                <w:sz w:val="18"/>
                <w:szCs w:val="20"/>
              </w:rPr>
              <w:t xml:space="preserve"> applications for specific projects.</w:t>
            </w:r>
          </w:p>
          <w:p w14:paraId="7BC1DE87" w14:textId="77777777" w:rsidR="00BE0A5D" w:rsidRDefault="00BE0A5D" w:rsidP="00754FD1">
            <w:pPr>
              <w:pStyle w:val="TableParagraph"/>
              <w:keepLines/>
              <w:widowControl/>
              <w:rPr>
                <w:rFonts w:ascii="Times New Roman"/>
                <w:sz w:val="18"/>
                <w:szCs w:val="20"/>
              </w:rPr>
            </w:pPr>
          </w:p>
          <w:p w14:paraId="185F5CFF" w14:textId="423493A4" w:rsidR="00BE0A5D" w:rsidRPr="00AB56BB" w:rsidRDefault="00BE0A5D" w:rsidP="00754FD1">
            <w:pPr>
              <w:pStyle w:val="TableParagraph"/>
              <w:keepLines/>
              <w:widowControl/>
              <w:rPr>
                <w:rFonts w:ascii="Times New Roman"/>
                <w:sz w:val="18"/>
                <w:szCs w:val="20"/>
              </w:rPr>
            </w:pPr>
            <w:r>
              <w:rPr>
                <w:rFonts w:ascii="Times New Roman"/>
                <w:sz w:val="18"/>
                <w:szCs w:val="20"/>
              </w:rPr>
              <w:t>This approach</w:t>
            </w:r>
            <w:r w:rsidR="004D57F9">
              <w:rPr>
                <w:rFonts w:ascii="Times New Roman"/>
                <w:sz w:val="18"/>
                <w:szCs w:val="20"/>
              </w:rPr>
              <w:t xml:space="preserve"> </w:t>
            </w:r>
            <w:r w:rsidR="00497DB4">
              <w:rPr>
                <w:rFonts w:ascii="Times New Roman"/>
                <w:sz w:val="18"/>
                <w:szCs w:val="20"/>
              </w:rPr>
              <w:t>to</w:t>
            </w:r>
            <w:r>
              <w:rPr>
                <w:rFonts w:ascii="Times New Roman"/>
                <w:sz w:val="18"/>
                <w:szCs w:val="20"/>
              </w:rPr>
              <w:t xml:space="preserve"> EJ </w:t>
            </w:r>
            <w:r w:rsidR="00497DB4">
              <w:rPr>
                <w:rFonts w:ascii="Times New Roman"/>
                <w:sz w:val="18"/>
                <w:szCs w:val="20"/>
              </w:rPr>
              <w:t>results in EJ being addressed in</w:t>
            </w:r>
            <w:r>
              <w:rPr>
                <w:rFonts w:ascii="Times New Roman"/>
                <w:sz w:val="18"/>
                <w:szCs w:val="20"/>
              </w:rPr>
              <w:t xml:space="preserve"> a piecemeal manner</w:t>
            </w:r>
            <w:r w:rsidR="00497DB4">
              <w:rPr>
                <w:rFonts w:ascii="Times New Roman"/>
                <w:sz w:val="18"/>
                <w:szCs w:val="20"/>
              </w:rPr>
              <w:t>, rather than comprehensively</w:t>
            </w:r>
            <w:r w:rsidR="00F57DA2">
              <w:rPr>
                <w:rFonts w:ascii="Times New Roman"/>
                <w:sz w:val="18"/>
                <w:szCs w:val="20"/>
              </w:rPr>
              <w:t xml:space="preserve"> across the system. Only evaluating EJ on a project by project basis disregards the</w:t>
            </w:r>
            <w:r>
              <w:rPr>
                <w:rFonts w:ascii="Times New Roman"/>
                <w:sz w:val="18"/>
                <w:szCs w:val="20"/>
              </w:rPr>
              <w:t xml:space="preserve"> comprehensive impacts</w:t>
            </w:r>
            <w:r w:rsidR="00302BBB">
              <w:rPr>
                <w:rFonts w:ascii="Times New Roman"/>
                <w:sz w:val="18"/>
                <w:szCs w:val="20"/>
              </w:rPr>
              <w:t xml:space="preserve"> in certain communities as the result of the</w:t>
            </w:r>
            <w:r w:rsidR="00357BFD">
              <w:rPr>
                <w:rFonts w:ascii="Times New Roman"/>
                <w:sz w:val="18"/>
                <w:szCs w:val="20"/>
              </w:rPr>
              <w:t xml:space="preserve"> utility</w:t>
            </w:r>
            <w:r w:rsidR="00357BFD">
              <w:rPr>
                <w:rFonts w:ascii="Times New Roman"/>
                <w:sz w:val="18"/>
                <w:szCs w:val="20"/>
              </w:rPr>
              <w:t>’</w:t>
            </w:r>
            <w:r w:rsidR="00357BFD">
              <w:rPr>
                <w:rFonts w:ascii="Times New Roman"/>
                <w:sz w:val="18"/>
                <w:szCs w:val="20"/>
              </w:rPr>
              <w:t xml:space="preserve">s </w:t>
            </w:r>
            <w:r w:rsidR="00302BBB">
              <w:rPr>
                <w:rFonts w:ascii="Times New Roman"/>
                <w:sz w:val="18"/>
                <w:szCs w:val="20"/>
              </w:rPr>
              <w:t xml:space="preserve">system-wide operations. </w:t>
            </w:r>
            <w:r w:rsidR="00366C01">
              <w:rPr>
                <w:rFonts w:ascii="Times New Roman"/>
                <w:sz w:val="18"/>
                <w:szCs w:val="20"/>
              </w:rPr>
              <w:t>In this wa</w:t>
            </w:r>
            <w:r w:rsidR="00A34AE7">
              <w:rPr>
                <w:rFonts w:ascii="Times New Roman"/>
                <w:sz w:val="18"/>
                <w:szCs w:val="20"/>
              </w:rPr>
              <w:t>y</w:t>
            </w:r>
            <w:r w:rsidR="00366C01">
              <w:rPr>
                <w:rFonts w:ascii="Times New Roman"/>
                <w:sz w:val="18"/>
                <w:szCs w:val="20"/>
              </w:rPr>
              <w:t>, c</w:t>
            </w:r>
            <w:r w:rsidR="00302BBB">
              <w:rPr>
                <w:rFonts w:ascii="Times New Roman"/>
                <w:sz w:val="18"/>
                <w:szCs w:val="20"/>
              </w:rPr>
              <w:t xml:space="preserve">umulative impacts, societal costs and </w:t>
            </w:r>
            <w:r w:rsidR="00D672F3">
              <w:rPr>
                <w:rFonts w:ascii="Times New Roman"/>
                <w:sz w:val="18"/>
                <w:szCs w:val="20"/>
              </w:rPr>
              <w:t xml:space="preserve">health concerns, to name a few, are not </w:t>
            </w:r>
            <w:r w:rsidR="00A34AE7">
              <w:rPr>
                <w:rFonts w:ascii="Times New Roman"/>
                <w:sz w:val="18"/>
                <w:szCs w:val="20"/>
              </w:rPr>
              <w:t xml:space="preserve">being </w:t>
            </w:r>
            <w:r w:rsidR="00D672F3">
              <w:rPr>
                <w:rFonts w:ascii="Times New Roman"/>
                <w:sz w:val="18"/>
                <w:szCs w:val="20"/>
              </w:rPr>
              <w:t xml:space="preserve">considered </w:t>
            </w:r>
            <w:r w:rsidR="00366C01">
              <w:rPr>
                <w:rFonts w:ascii="Times New Roman"/>
                <w:sz w:val="18"/>
                <w:szCs w:val="20"/>
              </w:rPr>
              <w:t>in the</w:t>
            </w:r>
            <w:r w:rsidR="00357BFD">
              <w:rPr>
                <w:rFonts w:ascii="Times New Roman"/>
                <w:sz w:val="18"/>
                <w:szCs w:val="20"/>
              </w:rPr>
              <w:t xml:space="preserve"> utilit</w:t>
            </w:r>
            <w:r w:rsidR="00366C01">
              <w:rPr>
                <w:rFonts w:ascii="Times New Roman"/>
                <w:sz w:val="18"/>
                <w:szCs w:val="20"/>
              </w:rPr>
              <w:t>y</w:t>
            </w:r>
            <w:r w:rsidR="00366C01">
              <w:rPr>
                <w:rFonts w:ascii="Times New Roman"/>
                <w:sz w:val="18"/>
                <w:szCs w:val="20"/>
              </w:rPr>
              <w:t>’</w:t>
            </w:r>
            <w:r w:rsidR="00366C01">
              <w:rPr>
                <w:rFonts w:ascii="Times New Roman"/>
                <w:sz w:val="18"/>
                <w:szCs w:val="20"/>
              </w:rPr>
              <w:t>s plans for</w:t>
            </w:r>
            <w:r w:rsidR="00357BFD">
              <w:rPr>
                <w:rFonts w:ascii="Times New Roman"/>
                <w:sz w:val="18"/>
                <w:szCs w:val="20"/>
              </w:rPr>
              <w:t xml:space="preserve"> service provisions</w:t>
            </w:r>
            <w:r w:rsidR="00A34AE7">
              <w:rPr>
                <w:rFonts w:ascii="Times New Roman"/>
                <w:sz w:val="18"/>
                <w:szCs w:val="20"/>
              </w:rPr>
              <w:t xml:space="preserve">. And </w:t>
            </w:r>
            <w:r w:rsidR="00357BFD">
              <w:rPr>
                <w:rFonts w:ascii="Times New Roman"/>
                <w:sz w:val="18"/>
                <w:szCs w:val="20"/>
              </w:rPr>
              <w:t xml:space="preserve">communities who currently </w:t>
            </w:r>
            <w:r w:rsidR="004D57F9">
              <w:rPr>
                <w:rFonts w:ascii="Times New Roman"/>
                <w:sz w:val="18"/>
                <w:szCs w:val="20"/>
              </w:rPr>
              <w:t>deal with polluting resources nearby</w:t>
            </w:r>
            <w:r w:rsidR="00A34AE7">
              <w:rPr>
                <w:rFonts w:ascii="Times New Roman"/>
                <w:sz w:val="18"/>
                <w:szCs w:val="20"/>
              </w:rPr>
              <w:t xml:space="preserve"> are not specifically considered</w:t>
            </w:r>
            <w:r w:rsidR="009C38F9">
              <w:rPr>
                <w:rFonts w:ascii="Times New Roman"/>
                <w:sz w:val="18"/>
                <w:szCs w:val="20"/>
              </w:rPr>
              <w:t xml:space="preserve">, meaning </w:t>
            </w:r>
            <w:r w:rsidR="00AE72BF">
              <w:rPr>
                <w:rFonts w:ascii="Times New Roman"/>
                <w:sz w:val="18"/>
                <w:szCs w:val="20"/>
              </w:rPr>
              <w:t>the impact of continued operation of polluting resources on those communities goes unaddressed</w:t>
            </w:r>
            <w:r w:rsidR="009C38F9">
              <w:rPr>
                <w:rFonts w:ascii="Times New Roman"/>
                <w:sz w:val="18"/>
                <w:szCs w:val="20"/>
              </w:rPr>
              <w:t xml:space="preserve"> in the utility</w:t>
            </w:r>
            <w:r w:rsidR="009C38F9">
              <w:rPr>
                <w:rFonts w:ascii="Times New Roman"/>
                <w:sz w:val="18"/>
                <w:szCs w:val="20"/>
              </w:rPr>
              <w:t>’</w:t>
            </w:r>
            <w:r w:rsidR="009C38F9">
              <w:rPr>
                <w:rFonts w:ascii="Times New Roman"/>
                <w:sz w:val="18"/>
                <w:szCs w:val="20"/>
              </w:rPr>
              <w:t>s long term planning process</w:t>
            </w:r>
            <w:r w:rsidR="00AE72BF">
              <w:rPr>
                <w:rFonts w:ascii="Times New Roman"/>
                <w:sz w:val="18"/>
                <w:szCs w:val="20"/>
              </w:rPr>
              <w:t xml:space="preserve">. </w:t>
            </w:r>
          </w:p>
        </w:tc>
        <w:tc>
          <w:tcPr>
            <w:tcW w:w="4534" w:type="dxa"/>
          </w:tcPr>
          <w:p w14:paraId="1D7F60E8" w14:textId="2934394A" w:rsidR="00615B91" w:rsidRPr="00AB56BB" w:rsidRDefault="003B1719" w:rsidP="00754FD1">
            <w:pPr>
              <w:pStyle w:val="TableParagraph"/>
              <w:keepLines/>
              <w:widowControl/>
              <w:rPr>
                <w:rFonts w:ascii="Times New Roman"/>
                <w:sz w:val="18"/>
                <w:szCs w:val="20"/>
              </w:rPr>
            </w:pPr>
            <w:r>
              <w:rPr>
                <w:rFonts w:ascii="Times New Roman"/>
                <w:sz w:val="18"/>
                <w:szCs w:val="20"/>
              </w:rPr>
              <w:t>See note above regarding grid mod. Also, this planning space is a critical area of analysis to understand the potential impacts of various resource portfolio procurement pathways</w:t>
            </w:r>
            <w:r w:rsidR="003A663C">
              <w:rPr>
                <w:rFonts w:ascii="Times New Roman"/>
                <w:sz w:val="18"/>
                <w:szCs w:val="20"/>
              </w:rPr>
              <w:t xml:space="preserve">. Understanding the likely impacts to air quality, price, climate, and environment should be evaluated with a particular focus on EJ, fenceline, and HED communities. </w:t>
            </w: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60EADC10" w:rsidR="00615B91" w:rsidRPr="00AB56BB" w:rsidRDefault="00FC7859" w:rsidP="00A47D47">
            <w:pPr>
              <w:pStyle w:val="TableParagraph"/>
              <w:keepLines/>
              <w:widowControl/>
              <w:jc w:val="center"/>
              <w:rPr>
                <w:rFonts w:ascii="Times New Roman"/>
                <w:sz w:val="18"/>
                <w:szCs w:val="20"/>
              </w:rPr>
            </w:pPr>
            <w:r>
              <w:rPr>
                <w:rFonts w:ascii="Times New Roman"/>
                <w:sz w:val="18"/>
                <w:szCs w:val="20"/>
              </w:rPr>
              <w:t>-</w:t>
            </w:r>
          </w:p>
        </w:tc>
        <w:tc>
          <w:tcPr>
            <w:tcW w:w="3296" w:type="dxa"/>
          </w:tcPr>
          <w:p w14:paraId="66CAD39B" w14:textId="3003BF8F" w:rsidR="00615B91" w:rsidRDefault="007A5409" w:rsidP="00754FD1">
            <w:pPr>
              <w:pStyle w:val="TableParagraph"/>
              <w:keepLines/>
              <w:widowControl/>
              <w:rPr>
                <w:rFonts w:ascii="Times New Roman"/>
                <w:sz w:val="18"/>
                <w:szCs w:val="20"/>
              </w:rPr>
            </w:pPr>
            <w:r>
              <w:rPr>
                <w:rFonts w:ascii="Times New Roman"/>
                <w:sz w:val="18"/>
                <w:szCs w:val="20"/>
              </w:rPr>
              <w:t>Currently, th</w:t>
            </w:r>
            <w:r w:rsidR="00254E97">
              <w:rPr>
                <w:rFonts w:ascii="Times New Roman"/>
                <w:sz w:val="18"/>
                <w:szCs w:val="20"/>
              </w:rPr>
              <w:t>e CPCN proceeding</w:t>
            </w:r>
            <w:r w:rsidR="00C41E2D">
              <w:rPr>
                <w:rFonts w:ascii="Times New Roman"/>
                <w:sz w:val="18"/>
                <w:szCs w:val="20"/>
              </w:rPr>
              <w:t xml:space="preserve"> is </w:t>
            </w:r>
            <w:r>
              <w:rPr>
                <w:rFonts w:ascii="Times New Roman"/>
                <w:sz w:val="18"/>
                <w:szCs w:val="20"/>
              </w:rPr>
              <w:t xml:space="preserve">consistently the most common place for an EJ </w:t>
            </w:r>
            <w:r w:rsidR="00F54A8B">
              <w:rPr>
                <w:rFonts w:ascii="Times New Roman"/>
                <w:sz w:val="18"/>
                <w:szCs w:val="20"/>
              </w:rPr>
              <w:t>review to take place. This per project approach to evaluating EJ</w:t>
            </w:r>
            <w:r w:rsidR="00C41E2D">
              <w:rPr>
                <w:rFonts w:ascii="Times New Roman"/>
                <w:sz w:val="18"/>
                <w:szCs w:val="20"/>
              </w:rPr>
              <w:t xml:space="preserve">, as noted above, does not take into account </w:t>
            </w:r>
            <w:r w:rsidR="000C3E2B">
              <w:rPr>
                <w:rFonts w:ascii="Times New Roman"/>
                <w:sz w:val="18"/>
                <w:szCs w:val="20"/>
              </w:rPr>
              <w:t>comprehensive</w:t>
            </w:r>
            <w:r w:rsidR="0044492F">
              <w:rPr>
                <w:rFonts w:ascii="Times New Roman"/>
                <w:sz w:val="18"/>
                <w:szCs w:val="20"/>
              </w:rPr>
              <w:t xml:space="preserve"> (As could be done in association with a rate case an</w:t>
            </w:r>
            <w:r w:rsidR="00A00FDD">
              <w:rPr>
                <w:rFonts w:ascii="Times New Roman"/>
                <w:sz w:val="18"/>
                <w:szCs w:val="20"/>
              </w:rPr>
              <w:t>d</w:t>
            </w:r>
            <w:r w:rsidR="0044492F">
              <w:rPr>
                <w:rFonts w:ascii="Times New Roman"/>
                <w:sz w:val="18"/>
                <w:szCs w:val="20"/>
              </w:rPr>
              <w:t xml:space="preserve"> in an IRP)</w:t>
            </w:r>
            <w:r w:rsidR="000C3E2B">
              <w:rPr>
                <w:rFonts w:ascii="Times New Roman"/>
                <w:sz w:val="18"/>
                <w:szCs w:val="20"/>
              </w:rPr>
              <w:t xml:space="preserve"> electricity system impacts to communities</w:t>
            </w:r>
            <w:r w:rsidR="0044492F">
              <w:rPr>
                <w:rFonts w:ascii="Times New Roman"/>
                <w:sz w:val="18"/>
                <w:szCs w:val="20"/>
              </w:rPr>
              <w:t xml:space="preserve"> </w:t>
            </w:r>
            <w:r w:rsidR="000C3E2B">
              <w:rPr>
                <w:rFonts w:ascii="Times New Roman"/>
                <w:sz w:val="18"/>
                <w:szCs w:val="20"/>
              </w:rPr>
              <w:t>.</w:t>
            </w:r>
          </w:p>
          <w:p w14:paraId="33DE7EF3" w14:textId="77777777" w:rsidR="000C3E2B" w:rsidRDefault="000C3E2B" w:rsidP="00754FD1">
            <w:pPr>
              <w:pStyle w:val="TableParagraph"/>
              <w:keepLines/>
              <w:widowControl/>
              <w:rPr>
                <w:rFonts w:ascii="Times New Roman"/>
                <w:sz w:val="18"/>
                <w:szCs w:val="20"/>
              </w:rPr>
            </w:pPr>
          </w:p>
          <w:p w14:paraId="76E1DA20" w14:textId="7610DBD5" w:rsidR="000C3E2B" w:rsidRPr="00AB56BB" w:rsidRDefault="000C3E2B" w:rsidP="00754FD1">
            <w:pPr>
              <w:pStyle w:val="TableParagraph"/>
              <w:keepLines/>
              <w:widowControl/>
              <w:rPr>
                <w:rFonts w:ascii="Times New Roman"/>
                <w:sz w:val="18"/>
                <w:szCs w:val="20"/>
              </w:rPr>
            </w:pPr>
            <w:r>
              <w:rPr>
                <w:rFonts w:ascii="Times New Roman"/>
                <w:sz w:val="18"/>
                <w:szCs w:val="20"/>
              </w:rPr>
              <w:t xml:space="preserve">While this focused, per-project evaluation of potential </w:t>
            </w:r>
            <w:r w:rsidR="00983BE6">
              <w:rPr>
                <w:rFonts w:ascii="Times New Roman"/>
                <w:sz w:val="18"/>
                <w:szCs w:val="20"/>
              </w:rPr>
              <w:t xml:space="preserve">EJ implications is important and should remain a component of the pursuit for EJ, </w:t>
            </w:r>
            <w:r w:rsidR="00C80E35">
              <w:rPr>
                <w:rFonts w:ascii="Times New Roman"/>
                <w:sz w:val="18"/>
                <w:szCs w:val="20"/>
              </w:rPr>
              <w:t xml:space="preserve">doing so should not be to the exclusion of evaluating EJ impacts more broadly and comprehensively. The current struct of separating the two does not incent </w:t>
            </w:r>
            <w:r w:rsidR="00FC7859">
              <w:rPr>
                <w:rFonts w:ascii="Times New Roman"/>
                <w:sz w:val="18"/>
                <w:szCs w:val="20"/>
              </w:rPr>
              <w:t>advancing environmental justice and equity.</w:t>
            </w:r>
          </w:p>
        </w:tc>
        <w:tc>
          <w:tcPr>
            <w:tcW w:w="4534" w:type="dxa"/>
          </w:tcPr>
          <w:p w14:paraId="517A05C5" w14:textId="1E482BBF" w:rsidR="00615B91" w:rsidRPr="00AB56BB" w:rsidRDefault="00B758B9" w:rsidP="00754FD1">
            <w:pPr>
              <w:pStyle w:val="TableParagraph"/>
              <w:keepLines/>
              <w:widowControl/>
              <w:rPr>
                <w:rFonts w:ascii="Times New Roman"/>
                <w:sz w:val="18"/>
                <w:szCs w:val="20"/>
              </w:rPr>
            </w:pPr>
            <w:r>
              <w:rPr>
                <w:rFonts w:ascii="Times New Roman"/>
                <w:sz w:val="18"/>
                <w:szCs w:val="20"/>
              </w:rPr>
              <w:t xml:space="preserve">While some utilities approach EJ only in the context of individual project applications, this should not be the exclusive evaluation </w:t>
            </w:r>
            <w:r w:rsidR="001032CB">
              <w:rPr>
                <w:rFonts w:ascii="Times New Roman"/>
                <w:sz w:val="18"/>
                <w:szCs w:val="20"/>
              </w:rPr>
              <w:t xml:space="preserve">space. To the extent the Commission endorses this narrow and limiting approach to pursuing EJ, </w:t>
            </w:r>
            <w:r w:rsidR="00E90365">
              <w:rPr>
                <w:rFonts w:ascii="Times New Roman"/>
                <w:sz w:val="18"/>
                <w:szCs w:val="20"/>
              </w:rPr>
              <w:t>it works directly against achieving the policy objectives associated with EJ and equity.</w:t>
            </w: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615B91" w:rsidRPr="00AB56BB" w:rsidRDefault="00615B91" w:rsidP="00A47D47">
            <w:pPr>
              <w:pStyle w:val="TableParagraph"/>
              <w:keepLines/>
              <w:widowControl/>
              <w:jc w:val="center"/>
              <w:rPr>
                <w:rFonts w:ascii="Times New Roman"/>
                <w:sz w:val="18"/>
                <w:szCs w:val="20"/>
              </w:rPr>
            </w:pP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615B91" w:rsidRPr="00AB56BB" w:rsidRDefault="00615B91" w:rsidP="00A47D47">
            <w:pPr>
              <w:pStyle w:val="TableParagraph"/>
              <w:keepLines/>
              <w:widowControl/>
              <w:jc w:val="center"/>
              <w:rPr>
                <w:rFonts w:ascii="Times New Roman"/>
                <w:sz w:val="18"/>
                <w:szCs w:val="20"/>
              </w:rPr>
            </w:pPr>
          </w:p>
        </w:tc>
        <w:tc>
          <w:tcPr>
            <w:tcW w:w="3296" w:type="dxa"/>
          </w:tcPr>
          <w:p w14:paraId="44FA10F0" w14:textId="77777777" w:rsidR="00615B91" w:rsidRPr="00AB56BB" w:rsidRDefault="00615B91" w:rsidP="00754FD1">
            <w:pPr>
              <w:pStyle w:val="TableParagraph"/>
              <w:keepLines/>
              <w:widowControl/>
              <w:rPr>
                <w:rFonts w:ascii="Times New Roman"/>
                <w:sz w:val="18"/>
                <w:szCs w:val="20"/>
              </w:rPr>
            </w:pPr>
          </w:p>
        </w:tc>
        <w:tc>
          <w:tcPr>
            <w:tcW w:w="4534" w:type="dxa"/>
          </w:tcPr>
          <w:p w14:paraId="48689F3A" w14:textId="7317E198" w:rsidR="006777A8" w:rsidRPr="00AB56BB" w:rsidRDefault="00CF47C3" w:rsidP="006777A8">
            <w:pPr>
              <w:pStyle w:val="TableParagraph"/>
              <w:keepLines/>
              <w:widowControl/>
              <w:rPr>
                <w:rFonts w:ascii="Times New Roman"/>
                <w:sz w:val="18"/>
                <w:szCs w:val="20"/>
              </w:rPr>
            </w:pPr>
            <w:r>
              <w:rPr>
                <w:rFonts w:ascii="Times New Roman"/>
                <w:sz w:val="18"/>
                <w:szCs w:val="20"/>
              </w:rPr>
              <w:t>In any pilot</w:t>
            </w:r>
            <w:r w:rsidR="000C281C">
              <w:rPr>
                <w:rFonts w:ascii="Times New Roman"/>
                <w:sz w:val="18"/>
                <w:szCs w:val="20"/>
              </w:rPr>
              <w:t>, utilities sho</w:t>
            </w:r>
            <w:r w:rsidR="000659FF" w:rsidRPr="000659FF">
              <w:rPr>
                <w:rFonts w:ascii="Times New Roman"/>
                <w:sz w:val="18"/>
                <w:szCs w:val="20"/>
              </w:rPr>
              <w:t>uld be required to work with stakeholders t</w:t>
            </w:r>
            <w:r w:rsidR="000C281C">
              <w:rPr>
                <w:rFonts w:ascii="Times New Roman"/>
                <w:sz w:val="18"/>
                <w:szCs w:val="20"/>
              </w:rPr>
              <w:t>o</w:t>
            </w:r>
            <w:r w:rsidR="000659FF" w:rsidRPr="000659FF">
              <w:rPr>
                <w:rFonts w:ascii="Times New Roman"/>
                <w:sz w:val="18"/>
                <w:szCs w:val="20"/>
              </w:rPr>
              <w:t xml:space="preserve"> identify at least two target initiatives that address environmental justice</w:t>
            </w:r>
            <w:r w:rsidR="000C281C">
              <w:rPr>
                <w:rFonts w:ascii="Times New Roman"/>
                <w:sz w:val="18"/>
                <w:szCs w:val="20"/>
              </w:rPr>
              <w:t xml:space="preserve">, focusing </w:t>
            </w:r>
            <w:r w:rsidR="006777A8">
              <w:rPr>
                <w:rFonts w:ascii="Times New Roman"/>
                <w:sz w:val="18"/>
                <w:szCs w:val="20"/>
              </w:rPr>
              <w:t>especially on m</w:t>
            </w:r>
            <w:r w:rsidR="000659FF" w:rsidRPr="000659FF">
              <w:rPr>
                <w:rFonts w:ascii="Times New Roman"/>
                <w:sz w:val="18"/>
                <w:szCs w:val="20"/>
              </w:rPr>
              <w:t>ultiple DERs as non-wire solutions.</w:t>
            </w:r>
            <w:r w:rsidR="006777A8">
              <w:rPr>
                <w:rFonts w:ascii="Times New Roman"/>
                <w:sz w:val="18"/>
                <w:szCs w:val="20"/>
              </w:rPr>
              <w:t xml:space="preserve"> In this way grid benefits can be pursued with an equity lens.</w:t>
            </w: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FCE71BC" w:rsidR="00615B91" w:rsidRDefault="004D1AAB">
            <w:pPr>
              <w:pStyle w:val="BodyText"/>
              <w:spacing w:before="63"/>
            </w:pPr>
            <w:r>
              <w:t>-</w:t>
            </w:r>
          </w:p>
        </w:tc>
        <w:tc>
          <w:tcPr>
            <w:tcW w:w="7470" w:type="dxa"/>
          </w:tcPr>
          <w:p w14:paraId="763DD1AE" w14:textId="73E1C081" w:rsidR="00615B91" w:rsidRDefault="004D1AAB">
            <w:pPr>
              <w:pStyle w:val="BodyText"/>
              <w:spacing w:before="63"/>
            </w:pPr>
            <w:r>
              <w:t>For the reasons noted above, the current construct does not support achieving environmental justice and equity. In fact, it stands to exacerbate the injustices because the construc</w:t>
            </w:r>
            <w:r w:rsidR="005E0BE3">
              <w:t>t incents ignoring the real health, environmental, and societal impacts of energy infrastructure development and operation.</w:t>
            </w: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343D"/>
    <w:rsid w:val="000460F7"/>
    <w:rsid w:val="00050EB4"/>
    <w:rsid w:val="000659FF"/>
    <w:rsid w:val="00073979"/>
    <w:rsid w:val="00076421"/>
    <w:rsid w:val="00083862"/>
    <w:rsid w:val="000868B8"/>
    <w:rsid w:val="00093FE1"/>
    <w:rsid w:val="000A286C"/>
    <w:rsid w:val="000B6FEE"/>
    <w:rsid w:val="000C1A37"/>
    <w:rsid w:val="000C281C"/>
    <w:rsid w:val="000C3E2B"/>
    <w:rsid w:val="000C540E"/>
    <w:rsid w:val="000D33A7"/>
    <w:rsid w:val="000D5D3E"/>
    <w:rsid w:val="000D6A65"/>
    <w:rsid w:val="000E34E2"/>
    <w:rsid w:val="000F7018"/>
    <w:rsid w:val="00102191"/>
    <w:rsid w:val="001032CB"/>
    <w:rsid w:val="00116EF5"/>
    <w:rsid w:val="001347A7"/>
    <w:rsid w:val="00135875"/>
    <w:rsid w:val="00151704"/>
    <w:rsid w:val="00164208"/>
    <w:rsid w:val="00165C7C"/>
    <w:rsid w:val="00170B8D"/>
    <w:rsid w:val="00171D14"/>
    <w:rsid w:val="00184101"/>
    <w:rsid w:val="001A1039"/>
    <w:rsid w:val="001D3F19"/>
    <w:rsid w:val="001D7C93"/>
    <w:rsid w:val="00210A06"/>
    <w:rsid w:val="00215E00"/>
    <w:rsid w:val="0021775A"/>
    <w:rsid w:val="00227669"/>
    <w:rsid w:val="00231CD8"/>
    <w:rsid w:val="002328B9"/>
    <w:rsid w:val="002330C2"/>
    <w:rsid w:val="00244057"/>
    <w:rsid w:val="00244168"/>
    <w:rsid w:val="00254E97"/>
    <w:rsid w:val="002772F7"/>
    <w:rsid w:val="0028509B"/>
    <w:rsid w:val="0029415B"/>
    <w:rsid w:val="002A4C87"/>
    <w:rsid w:val="002B2930"/>
    <w:rsid w:val="002C5955"/>
    <w:rsid w:val="002C6A69"/>
    <w:rsid w:val="002D3621"/>
    <w:rsid w:val="002D6FA4"/>
    <w:rsid w:val="002D741E"/>
    <w:rsid w:val="002D7680"/>
    <w:rsid w:val="002E4B1D"/>
    <w:rsid w:val="002E6A30"/>
    <w:rsid w:val="00301124"/>
    <w:rsid w:val="00302BBB"/>
    <w:rsid w:val="0034215D"/>
    <w:rsid w:val="00355536"/>
    <w:rsid w:val="00357BFD"/>
    <w:rsid w:val="003632D1"/>
    <w:rsid w:val="00366C01"/>
    <w:rsid w:val="00373362"/>
    <w:rsid w:val="003745DF"/>
    <w:rsid w:val="00376BB9"/>
    <w:rsid w:val="003841E6"/>
    <w:rsid w:val="00392ADD"/>
    <w:rsid w:val="0039554D"/>
    <w:rsid w:val="003A663C"/>
    <w:rsid w:val="003B06BC"/>
    <w:rsid w:val="003B1719"/>
    <w:rsid w:val="003B2653"/>
    <w:rsid w:val="003C30FC"/>
    <w:rsid w:val="003D5C0B"/>
    <w:rsid w:val="003E2469"/>
    <w:rsid w:val="003F1F20"/>
    <w:rsid w:val="003F4240"/>
    <w:rsid w:val="003F6D7D"/>
    <w:rsid w:val="00407EE7"/>
    <w:rsid w:val="004137AD"/>
    <w:rsid w:val="00413A72"/>
    <w:rsid w:val="00436984"/>
    <w:rsid w:val="00441E76"/>
    <w:rsid w:val="00443394"/>
    <w:rsid w:val="0044492F"/>
    <w:rsid w:val="00465EDD"/>
    <w:rsid w:val="004679D6"/>
    <w:rsid w:val="0047002F"/>
    <w:rsid w:val="004833CB"/>
    <w:rsid w:val="00496FF4"/>
    <w:rsid w:val="00497DB4"/>
    <w:rsid w:val="004A147A"/>
    <w:rsid w:val="004A2957"/>
    <w:rsid w:val="004B76A9"/>
    <w:rsid w:val="004C7A24"/>
    <w:rsid w:val="004D1AAB"/>
    <w:rsid w:val="004D3195"/>
    <w:rsid w:val="004D57F9"/>
    <w:rsid w:val="004E09CA"/>
    <w:rsid w:val="004F2AE6"/>
    <w:rsid w:val="005176C8"/>
    <w:rsid w:val="005258EF"/>
    <w:rsid w:val="005266A6"/>
    <w:rsid w:val="005448D6"/>
    <w:rsid w:val="00545EFF"/>
    <w:rsid w:val="005475E0"/>
    <w:rsid w:val="00547D7E"/>
    <w:rsid w:val="00573C42"/>
    <w:rsid w:val="00576840"/>
    <w:rsid w:val="00582C13"/>
    <w:rsid w:val="005947D3"/>
    <w:rsid w:val="00597A3C"/>
    <w:rsid w:val="005A22A8"/>
    <w:rsid w:val="005A69A8"/>
    <w:rsid w:val="005B30CB"/>
    <w:rsid w:val="005C0693"/>
    <w:rsid w:val="005C7B09"/>
    <w:rsid w:val="005D0F2A"/>
    <w:rsid w:val="005E0BE3"/>
    <w:rsid w:val="005E4E9F"/>
    <w:rsid w:val="005F223A"/>
    <w:rsid w:val="005F257D"/>
    <w:rsid w:val="00611FE6"/>
    <w:rsid w:val="00614208"/>
    <w:rsid w:val="00614408"/>
    <w:rsid w:val="00615B91"/>
    <w:rsid w:val="006253AE"/>
    <w:rsid w:val="0063094C"/>
    <w:rsid w:val="00631DD0"/>
    <w:rsid w:val="00652586"/>
    <w:rsid w:val="00656C5D"/>
    <w:rsid w:val="006777A8"/>
    <w:rsid w:val="00680819"/>
    <w:rsid w:val="006816E1"/>
    <w:rsid w:val="006819D3"/>
    <w:rsid w:val="00683B64"/>
    <w:rsid w:val="00690C71"/>
    <w:rsid w:val="00691EC5"/>
    <w:rsid w:val="0069659F"/>
    <w:rsid w:val="00697110"/>
    <w:rsid w:val="006A0D71"/>
    <w:rsid w:val="006A3122"/>
    <w:rsid w:val="006B38B8"/>
    <w:rsid w:val="006D132E"/>
    <w:rsid w:val="006D1806"/>
    <w:rsid w:val="006D6B91"/>
    <w:rsid w:val="006F6C46"/>
    <w:rsid w:val="00710EAA"/>
    <w:rsid w:val="00712E94"/>
    <w:rsid w:val="00714310"/>
    <w:rsid w:val="00720E94"/>
    <w:rsid w:val="00722DA6"/>
    <w:rsid w:val="00733C30"/>
    <w:rsid w:val="00741E9E"/>
    <w:rsid w:val="00750864"/>
    <w:rsid w:val="00754FD1"/>
    <w:rsid w:val="007629A1"/>
    <w:rsid w:val="00770BDF"/>
    <w:rsid w:val="007808A6"/>
    <w:rsid w:val="007870E2"/>
    <w:rsid w:val="00793FE9"/>
    <w:rsid w:val="0079494A"/>
    <w:rsid w:val="0079634D"/>
    <w:rsid w:val="007A1D31"/>
    <w:rsid w:val="007A5409"/>
    <w:rsid w:val="007C6065"/>
    <w:rsid w:val="007D26AD"/>
    <w:rsid w:val="007D5524"/>
    <w:rsid w:val="007D75B2"/>
    <w:rsid w:val="007E547C"/>
    <w:rsid w:val="007E7F66"/>
    <w:rsid w:val="007F02AE"/>
    <w:rsid w:val="007F0FDA"/>
    <w:rsid w:val="0080096B"/>
    <w:rsid w:val="00807D7D"/>
    <w:rsid w:val="00814768"/>
    <w:rsid w:val="008210CD"/>
    <w:rsid w:val="00825511"/>
    <w:rsid w:val="00832CCF"/>
    <w:rsid w:val="00851168"/>
    <w:rsid w:val="008B5900"/>
    <w:rsid w:val="008C5672"/>
    <w:rsid w:val="008D1F0D"/>
    <w:rsid w:val="008D5F1D"/>
    <w:rsid w:val="00916AFA"/>
    <w:rsid w:val="009410E2"/>
    <w:rsid w:val="00953CC7"/>
    <w:rsid w:val="00954D7F"/>
    <w:rsid w:val="00975722"/>
    <w:rsid w:val="00983BE6"/>
    <w:rsid w:val="00985A5C"/>
    <w:rsid w:val="0099153C"/>
    <w:rsid w:val="009A063C"/>
    <w:rsid w:val="009A4357"/>
    <w:rsid w:val="009A4618"/>
    <w:rsid w:val="009B706B"/>
    <w:rsid w:val="009C38F9"/>
    <w:rsid w:val="009D0627"/>
    <w:rsid w:val="00A00FDD"/>
    <w:rsid w:val="00A13ED3"/>
    <w:rsid w:val="00A27048"/>
    <w:rsid w:val="00A277C8"/>
    <w:rsid w:val="00A34AE7"/>
    <w:rsid w:val="00A35606"/>
    <w:rsid w:val="00A4153C"/>
    <w:rsid w:val="00A47D47"/>
    <w:rsid w:val="00A568B8"/>
    <w:rsid w:val="00A62071"/>
    <w:rsid w:val="00A64864"/>
    <w:rsid w:val="00A65347"/>
    <w:rsid w:val="00A71544"/>
    <w:rsid w:val="00AB56BB"/>
    <w:rsid w:val="00AC6ED0"/>
    <w:rsid w:val="00AD1331"/>
    <w:rsid w:val="00AD3504"/>
    <w:rsid w:val="00AE72BF"/>
    <w:rsid w:val="00AF2055"/>
    <w:rsid w:val="00AF5014"/>
    <w:rsid w:val="00B1524D"/>
    <w:rsid w:val="00B1550F"/>
    <w:rsid w:val="00B3061E"/>
    <w:rsid w:val="00B50F2D"/>
    <w:rsid w:val="00B61961"/>
    <w:rsid w:val="00B66579"/>
    <w:rsid w:val="00B678A9"/>
    <w:rsid w:val="00B72D93"/>
    <w:rsid w:val="00B758B9"/>
    <w:rsid w:val="00BA6D30"/>
    <w:rsid w:val="00BA734C"/>
    <w:rsid w:val="00BD3E53"/>
    <w:rsid w:val="00BE0632"/>
    <w:rsid w:val="00BE0A5D"/>
    <w:rsid w:val="00BF11FB"/>
    <w:rsid w:val="00BF32CE"/>
    <w:rsid w:val="00BF649A"/>
    <w:rsid w:val="00C13DF7"/>
    <w:rsid w:val="00C21DAC"/>
    <w:rsid w:val="00C31C6D"/>
    <w:rsid w:val="00C41E2D"/>
    <w:rsid w:val="00C51E2D"/>
    <w:rsid w:val="00C55D51"/>
    <w:rsid w:val="00C718A3"/>
    <w:rsid w:val="00C73AE7"/>
    <w:rsid w:val="00C774D7"/>
    <w:rsid w:val="00C80E35"/>
    <w:rsid w:val="00C94D50"/>
    <w:rsid w:val="00CA4314"/>
    <w:rsid w:val="00CE1F45"/>
    <w:rsid w:val="00CE7B75"/>
    <w:rsid w:val="00CF47C3"/>
    <w:rsid w:val="00CF49F6"/>
    <w:rsid w:val="00CF5481"/>
    <w:rsid w:val="00CF7C64"/>
    <w:rsid w:val="00D0267F"/>
    <w:rsid w:val="00D02A65"/>
    <w:rsid w:val="00D04455"/>
    <w:rsid w:val="00D13523"/>
    <w:rsid w:val="00D2263F"/>
    <w:rsid w:val="00D23E02"/>
    <w:rsid w:val="00D36DA2"/>
    <w:rsid w:val="00D4274C"/>
    <w:rsid w:val="00D50CDE"/>
    <w:rsid w:val="00D51678"/>
    <w:rsid w:val="00D5713E"/>
    <w:rsid w:val="00D64719"/>
    <w:rsid w:val="00D672F3"/>
    <w:rsid w:val="00D674FC"/>
    <w:rsid w:val="00D812BB"/>
    <w:rsid w:val="00D93C51"/>
    <w:rsid w:val="00D9444C"/>
    <w:rsid w:val="00DA1F07"/>
    <w:rsid w:val="00DB0C1F"/>
    <w:rsid w:val="00DB413E"/>
    <w:rsid w:val="00DB5278"/>
    <w:rsid w:val="00DB5A8F"/>
    <w:rsid w:val="00DC0530"/>
    <w:rsid w:val="00DC2ABA"/>
    <w:rsid w:val="00DC4B01"/>
    <w:rsid w:val="00DD602C"/>
    <w:rsid w:val="00E03BEA"/>
    <w:rsid w:val="00E05315"/>
    <w:rsid w:val="00E14B74"/>
    <w:rsid w:val="00E167FC"/>
    <w:rsid w:val="00E16ACE"/>
    <w:rsid w:val="00E23189"/>
    <w:rsid w:val="00E244C1"/>
    <w:rsid w:val="00E40CEE"/>
    <w:rsid w:val="00E50DB4"/>
    <w:rsid w:val="00E67992"/>
    <w:rsid w:val="00E70063"/>
    <w:rsid w:val="00E81365"/>
    <w:rsid w:val="00E847AA"/>
    <w:rsid w:val="00E90365"/>
    <w:rsid w:val="00E932D1"/>
    <w:rsid w:val="00E97484"/>
    <w:rsid w:val="00EA3267"/>
    <w:rsid w:val="00EC013F"/>
    <w:rsid w:val="00ED22F6"/>
    <w:rsid w:val="00F10FF5"/>
    <w:rsid w:val="00F10FF9"/>
    <w:rsid w:val="00F1404D"/>
    <w:rsid w:val="00F2045A"/>
    <w:rsid w:val="00F2783E"/>
    <w:rsid w:val="00F306AC"/>
    <w:rsid w:val="00F32FC5"/>
    <w:rsid w:val="00F332B0"/>
    <w:rsid w:val="00F4651B"/>
    <w:rsid w:val="00F47D1D"/>
    <w:rsid w:val="00F50314"/>
    <w:rsid w:val="00F54A8B"/>
    <w:rsid w:val="00F57DA2"/>
    <w:rsid w:val="00F60954"/>
    <w:rsid w:val="00F8002B"/>
    <w:rsid w:val="00F91E97"/>
    <w:rsid w:val="00F97CC8"/>
    <w:rsid w:val="00FA607E"/>
    <w:rsid w:val="00FA66D3"/>
    <w:rsid w:val="00FA7CD6"/>
    <w:rsid w:val="00FB5587"/>
    <w:rsid w:val="00FC05CF"/>
    <w:rsid w:val="00FC2FA7"/>
    <w:rsid w:val="00FC7859"/>
    <w:rsid w:val="00FD26FC"/>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77C8"/>
    <w:rPr>
      <w:color w:val="0000FF" w:themeColor="hyperlink"/>
      <w:u w:val="single"/>
    </w:rPr>
  </w:style>
  <w:style w:type="character" w:styleId="UnresolvedMention">
    <w:name w:val="Unresolved Mention"/>
    <w:basedOn w:val="DefaultParagraphFont"/>
    <w:uiPriority w:val="99"/>
    <w:semiHidden/>
    <w:unhideWhenUsed/>
    <w:rsid w:val="00A2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tilitydive.com/news/hawaii-regulators-audit-heco-management-as-utility-targets-oahu-rate-increa/56681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arw1.ncuc.gov/NCUC/ViewFile.aspx?Id=17003ff8-9238-42c5-8b40-9ca9669e2f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2.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1882</Words>
  <Characters>10734</Characters>
  <Application>Microsoft Office Word</Application>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Rachel James</cp:lastModifiedBy>
  <cp:revision>26</cp:revision>
  <dcterms:created xsi:type="dcterms:W3CDTF">2025-03-24T22:10:00Z</dcterms:created>
  <dcterms:modified xsi:type="dcterms:W3CDTF">2025-03-25T17:34:00Z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